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58" w:rsidRPr="008F4D3F" w:rsidRDefault="00026958" w:rsidP="00A56ADF">
      <w:pPr>
        <w:spacing w:after="0"/>
        <w:jc w:val="center"/>
        <w:rPr>
          <w:rFonts w:ascii="Comic Sans MS" w:eastAsia="Times New Roman" w:hAnsi="Comic Sans MS" w:cs="Times New Roman"/>
          <w:b/>
          <w:color w:val="000000"/>
          <w:sz w:val="28"/>
        </w:rPr>
      </w:pPr>
      <w:r w:rsidRPr="008F4D3F">
        <w:rPr>
          <w:rFonts w:ascii="Comic Sans MS" w:eastAsia="Times New Roman" w:hAnsi="Comic Sans MS" w:cs="Times New Roman"/>
          <w:b/>
          <w:color w:val="000000"/>
          <w:sz w:val="28"/>
        </w:rPr>
        <w:t xml:space="preserve">Bloom’s </w:t>
      </w:r>
      <w:r w:rsidR="00560248" w:rsidRPr="008F4D3F">
        <w:rPr>
          <w:rFonts w:ascii="Comic Sans MS" w:eastAsia="Times New Roman" w:hAnsi="Comic Sans MS" w:cs="Times New Roman"/>
          <w:b/>
          <w:color w:val="000000"/>
          <w:sz w:val="28"/>
        </w:rPr>
        <w:t>T</w:t>
      </w:r>
      <w:r w:rsidRPr="008F4D3F">
        <w:rPr>
          <w:rFonts w:ascii="Comic Sans MS" w:eastAsia="Times New Roman" w:hAnsi="Comic Sans MS" w:cs="Times New Roman"/>
          <w:b/>
          <w:color w:val="000000"/>
          <w:sz w:val="28"/>
        </w:rPr>
        <w:t>axonomy</w:t>
      </w:r>
      <w:r w:rsidR="00560248" w:rsidRPr="008F4D3F">
        <w:rPr>
          <w:rFonts w:ascii="Comic Sans MS" w:eastAsia="Times New Roman" w:hAnsi="Comic Sans MS" w:cs="Times New Roman"/>
          <w:b/>
          <w:color w:val="000000"/>
          <w:sz w:val="28"/>
        </w:rPr>
        <w:t>: Three</w:t>
      </w:r>
      <w:r w:rsidRPr="008F4D3F">
        <w:rPr>
          <w:rFonts w:ascii="Comic Sans MS" w:eastAsia="Times New Roman" w:hAnsi="Comic Sans MS" w:cs="Times New Roman"/>
          <w:b/>
          <w:color w:val="000000"/>
          <w:sz w:val="28"/>
        </w:rPr>
        <w:t xml:space="preserve"> </w:t>
      </w:r>
      <w:r w:rsidR="00560248" w:rsidRPr="008F4D3F">
        <w:rPr>
          <w:rFonts w:ascii="Comic Sans MS" w:eastAsia="Times New Roman" w:hAnsi="Comic Sans MS" w:cs="Times New Roman"/>
          <w:b/>
          <w:color w:val="000000"/>
          <w:sz w:val="28"/>
        </w:rPr>
        <w:t>Learning D</w:t>
      </w:r>
      <w:r w:rsidRPr="008F4D3F">
        <w:rPr>
          <w:rFonts w:ascii="Comic Sans MS" w:eastAsia="Times New Roman" w:hAnsi="Comic Sans MS" w:cs="Times New Roman"/>
          <w:b/>
          <w:color w:val="000000"/>
          <w:sz w:val="28"/>
        </w:rPr>
        <w:t>omains</w:t>
      </w:r>
    </w:p>
    <w:p w:rsidR="00026958" w:rsidRPr="008F4D3F" w:rsidRDefault="00026958" w:rsidP="00026958">
      <w:pPr>
        <w:spacing w:after="0"/>
        <w:rPr>
          <w:rFonts w:ascii="Helvetica" w:eastAsia="Times New Roman" w:hAnsi="Helvetica" w:cs="Times New Roman"/>
          <w:color w:val="000000"/>
          <w:sz w:val="20"/>
        </w:rPr>
      </w:pPr>
    </w:p>
    <w:p w:rsidR="00026958" w:rsidRPr="008F4D3F" w:rsidRDefault="00560248" w:rsidP="00A56ADF">
      <w:pPr>
        <w:spacing w:after="0"/>
        <w:rPr>
          <w:rFonts w:ascii="Helvetica" w:eastAsia="Times New Roman" w:hAnsi="Helvetica" w:cs="Times New Roman"/>
          <w:b/>
          <w:color w:val="000000"/>
          <w:sz w:val="22"/>
        </w:rPr>
      </w:pPr>
      <w:r w:rsidRPr="008F4D3F">
        <w:rPr>
          <w:rFonts w:ascii="Helvetica" w:eastAsia="Times New Roman" w:hAnsi="Helvetica" w:cs="Times New Roman"/>
          <w:b/>
          <w:color w:val="000000"/>
          <w:sz w:val="22"/>
        </w:rPr>
        <w:t>1. Bloom’s T</w:t>
      </w:r>
      <w:r w:rsidR="00A56ADF" w:rsidRPr="008F4D3F">
        <w:rPr>
          <w:rFonts w:ascii="Helvetica" w:eastAsia="Times New Roman" w:hAnsi="Helvetica" w:cs="Times New Roman"/>
          <w:b/>
          <w:color w:val="000000"/>
          <w:sz w:val="22"/>
        </w:rPr>
        <w:t>axonomy - Cognitive D</w:t>
      </w:r>
      <w:r w:rsidR="00026958" w:rsidRPr="008F4D3F">
        <w:rPr>
          <w:rFonts w:ascii="Helvetica" w:eastAsia="Times New Roman" w:hAnsi="Helvetica" w:cs="Times New Roman"/>
          <w:b/>
          <w:color w:val="000000"/>
          <w:sz w:val="22"/>
        </w:rPr>
        <w:t>omain - (intellect - knowledge - 'think')</w:t>
      </w:r>
    </w:p>
    <w:p w:rsidR="00026958" w:rsidRPr="00A56ADF" w:rsidRDefault="00026958" w:rsidP="00A56ADF">
      <w:pPr>
        <w:spacing w:after="0"/>
        <w:ind w:left="180"/>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An adjusted model of Bloom's Taxonomy </w:t>
      </w:r>
      <w:r w:rsidR="00A56ADF" w:rsidRPr="00A56ADF">
        <w:rPr>
          <w:rFonts w:ascii="Helvetica" w:eastAsia="Times New Roman" w:hAnsi="Helvetica" w:cs="Times New Roman"/>
          <w:color w:val="000000"/>
          <w:sz w:val="20"/>
        </w:rPr>
        <w:t>(</w:t>
      </w:r>
      <w:r w:rsidRPr="00A56ADF">
        <w:rPr>
          <w:rFonts w:ascii="Helvetica" w:eastAsia="Times New Roman" w:hAnsi="Helvetica" w:cs="Times New Roman"/>
          <w:color w:val="000000"/>
          <w:sz w:val="20"/>
        </w:rPr>
        <w:t>1956</w:t>
      </w:r>
      <w:r w:rsidR="00A56ADF" w:rsidRPr="00A56ADF">
        <w:rPr>
          <w:rFonts w:ascii="Helvetica" w:eastAsia="Times New Roman" w:hAnsi="Helvetica" w:cs="Times New Roman"/>
          <w:color w:val="000000"/>
          <w:sz w:val="20"/>
        </w:rPr>
        <w:t>)</w:t>
      </w:r>
      <w:r w:rsidRPr="00A56ADF">
        <w:rPr>
          <w:rFonts w:ascii="Helvetica" w:eastAsia="Times New Roman" w:hAnsi="Helvetica" w:cs="Times New Roman"/>
          <w:color w:val="000000"/>
          <w:sz w:val="20"/>
        </w:rPr>
        <w:t xml:space="preserve"> Cognitive Domain was produced by Anderson </w:t>
      </w:r>
      <w:r w:rsidR="00A56ADF" w:rsidRPr="00A56ADF">
        <w:rPr>
          <w:rFonts w:ascii="Helvetica" w:eastAsia="Times New Roman" w:hAnsi="Helvetica" w:cs="Times New Roman"/>
          <w:color w:val="000000"/>
          <w:sz w:val="20"/>
        </w:rPr>
        <w:t>&amp;</w:t>
      </w:r>
      <w:r w:rsidRPr="00A56ADF">
        <w:rPr>
          <w:rFonts w:ascii="Helvetica" w:eastAsia="Times New Roman" w:hAnsi="Helvetica" w:cs="Times New Roman"/>
          <w:color w:val="000000"/>
          <w:sz w:val="20"/>
        </w:rPr>
        <w:t xml:space="preserve"> </w:t>
      </w:r>
      <w:proofErr w:type="spellStart"/>
      <w:r w:rsidRPr="00A56ADF">
        <w:rPr>
          <w:rFonts w:ascii="Helvetica" w:eastAsia="Times New Roman" w:hAnsi="Helvetica" w:cs="Times New Roman"/>
          <w:color w:val="000000"/>
          <w:sz w:val="20"/>
        </w:rPr>
        <w:t>Krathwhol</w:t>
      </w:r>
      <w:proofErr w:type="spellEnd"/>
      <w:r w:rsidRPr="00A56ADF">
        <w:rPr>
          <w:rFonts w:ascii="Helvetica" w:eastAsia="Times New Roman" w:hAnsi="Helvetica" w:cs="Times New Roman"/>
          <w:color w:val="000000"/>
          <w:sz w:val="20"/>
        </w:rPr>
        <w:t xml:space="preserve"> in which the levels five and six (synthesis </w:t>
      </w:r>
      <w:r w:rsidR="00A56ADF" w:rsidRPr="00A56ADF">
        <w:rPr>
          <w:rFonts w:ascii="Helvetica" w:eastAsia="Times New Roman" w:hAnsi="Helvetica" w:cs="Times New Roman"/>
          <w:color w:val="000000"/>
          <w:sz w:val="20"/>
        </w:rPr>
        <w:t>&amp;</w:t>
      </w:r>
      <w:r w:rsidRPr="00A56ADF">
        <w:rPr>
          <w:rFonts w:ascii="Helvetica" w:eastAsia="Times New Roman" w:hAnsi="Helvetica" w:cs="Times New Roman"/>
          <w:color w:val="000000"/>
          <w:sz w:val="20"/>
        </w:rPr>
        <w:t xml:space="preserve"> evaluation) were inverted and all the levels became verbs, suggesting that learning is an active process (Anderson &amp; </w:t>
      </w:r>
      <w:proofErr w:type="spellStart"/>
      <w:r w:rsidRPr="00A56ADF">
        <w:rPr>
          <w:rFonts w:ascii="Helvetica" w:eastAsia="Times New Roman" w:hAnsi="Helvetica" w:cs="Times New Roman"/>
          <w:color w:val="000000"/>
          <w:sz w:val="20"/>
        </w:rPr>
        <w:t>Krathwohl</w:t>
      </w:r>
      <w:proofErr w:type="spellEnd"/>
      <w:r w:rsidRPr="00A56ADF">
        <w:rPr>
          <w:rFonts w:ascii="Helvetica" w:eastAsia="Times New Roman" w:hAnsi="Helvetica" w:cs="Times New Roman"/>
          <w:color w:val="000000"/>
          <w:sz w:val="20"/>
        </w:rPr>
        <w:t xml:space="preserve">, </w:t>
      </w:r>
      <w:r w:rsidRPr="00A56ADF">
        <w:rPr>
          <w:rFonts w:ascii="Helvetica" w:eastAsia="Times New Roman" w:hAnsi="Helvetica" w:cs="Times New Roman"/>
          <w:i/>
          <w:color w:val="000000"/>
          <w:sz w:val="20"/>
        </w:rPr>
        <w:t>A Taxonomy for Learning, Teaching, and Assessing: A Revision of Bloom's Taxonomy of Educational Objectives</w:t>
      </w:r>
      <w:r w:rsidRPr="00A56ADF">
        <w:rPr>
          <w:rFonts w:ascii="Helvetica" w:eastAsia="Times New Roman" w:hAnsi="Helvetica" w:cs="Times New Roman"/>
          <w:color w:val="000000"/>
          <w:sz w:val="20"/>
        </w:rPr>
        <w:t>, 2001). This is why you will see different versions of this Cognitive Domain model. While debate continues as to the order of levels</w:t>
      </w:r>
      <w:r w:rsidR="001F39B5" w:rsidRPr="00A56ADF">
        <w:rPr>
          <w:rFonts w:ascii="Helvetica" w:eastAsia="Times New Roman" w:hAnsi="Helvetica" w:cs="Times New Roman"/>
          <w:color w:val="000000"/>
          <w:sz w:val="20"/>
        </w:rPr>
        <w:t xml:space="preserve"> five and six, the revised</w:t>
      </w:r>
      <w:r w:rsidRPr="00A56ADF">
        <w:rPr>
          <w:rFonts w:ascii="Helvetica" w:eastAsia="Times New Roman" w:hAnsi="Helvetica" w:cs="Times New Roman"/>
          <w:color w:val="000000"/>
          <w:sz w:val="20"/>
        </w:rPr>
        <w:t xml:space="preserve"> version is gaining wider acceptance overall.</w:t>
      </w:r>
    </w:p>
    <w:p w:rsidR="00026958" w:rsidRPr="00A56ADF" w:rsidRDefault="00026958" w:rsidP="00026958">
      <w:pPr>
        <w:spacing w:after="0"/>
        <w:rPr>
          <w:rFonts w:ascii="Helvetica" w:eastAsia="Times New Roman" w:hAnsi="Helvetica" w:cs="Times New Roman"/>
          <w:color w:val="000000"/>
          <w:sz w:val="20"/>
        </w:rPr>
      </w:pPr>
    </w:p>
    <w:p w:rsidR="00026958" w:rsidRPr="00A56ADF" w:rsidRDefault="00026958" w:rsidP="00026958">
      <w:pPr>
        <w:spacing w:after="0"/>
        <w:rPr>
          <w:rFonts w:ascii="Helvetica" w:eastAsia="Times New Roman" w:hAnsi="Helvetica" w:cs="Times New Roman"/>
          <w:b/>
          <w:color w:val="000000"/>
          <w:sz w:val="22"/>
        </w:rPr>
      </w:pPr>
      <w:r w:rsidRPr="00A56ADF">
        <w:rPr>
          <w:rFonts w:ascii="Helvetica" w:eastAsia="Times New Roman" w:hAnsi="Helvetica" w:cs="Times New Roman"/>
          <w:b/>
          <w:color w:val="000000"/>
          <w:sz w:val="22"/>
        </w:rPr>
        <w:t>Cognitive Domain</w:t>
      </w:r>
    </w:p>
    <w:tbl>
      <w:tblPr>
        <w:tblStyle w:val="TableGrid"/>
        <w:tblW w:w="13788" w:type="dxa"/>
        <w:tblLook w:val="00BF"/>
      </w:tblPr>
      <w:tblGrid>
        <w:gridCol w:w="1818"/>
        <w:gridCol w:w="3240"/>
        <w:gridCol w:w="5130"/>
        <w:gridCol w:w="3600"/>
      </w:tblGrid>
      <w:tr w:rsidR="00560248" w:rsidRPr="00A56ADF" w:rsidTr="008F4D3F">
        <w:tc>
          <w:tcPr>
            <w:tcW w:w="1818" w:type="dxa"/>
          </w:tcPr>
          <w:p w:rsidR="00560248" w:rsidRPr="00A56ADF" w:rsidRDefault="00560248">
            <w:pPr>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Category or 'level'</w:t>
            </w:r>
          </w:p>
        </w:tc>
        <w:tc>
          <w:tcPr>
            <w:tcW w:w="3240" w:type="dxa"/>
          </w:tcPr>
          <w:p w:rsidR="00560248" w:rsidRPr="00A56ADF" w:rsidRDefault="00560248">
            <w:pPr>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 xml:space="preserve">Behavior descriptions </w:t>
            </w:r>
          </w:p>
        </w:tc>
        <w:tc>
          <w:tcPr>
            <w:tcW w:w="5130" w:type="dxa"/>
          </w:tcPr>
          <w:p w:rsidR="00560248" w:rsidRPr="00A56ADF" w:rsidRDefault="00560248">
            <w:pPr>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 xml:space="preserve">Examples of activity to be trained, or demonstration and evidence to be measured </w:t>
            </w:r>
          </w:p>
        </w:tc>
        <w:tc>
          <w:tcPr>
            <w:tcW w:w="3600" w:type="dxa"/>
          </w:tcPr>
          <w:p w:rsidR="00560248" w:rsidRPr="00A56ADF" w:rsidRDefault="00560248">
            <w:pPr>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'Key words' (verbs which describe the activity to be trained or measured at each level)</w:t>
            </w:r>
          </w:p>
        </w:tc>
      </w:tr>
      <w:tr w:rsidR="00560248" w:rsidRPr="00A56ADF" w:rsidTr="008F4D3F">
        <w:tc>
          <w:tcPr>
            <w:tcW w:w="1818" w:type="dxa"/>
          </w:tcPr>
          <w:p w:rsidR="00560248" w:rsidRPr="00A56ADF" w:rsidRDefault="00560248" w:rsidP="00A56ADF">
            <w:pPr>
              <w:pStyle w:val="ListParagraph"/>
              <w:numPr>
                <w:ilvl w:val="0"/>
                <w:numId w:val="1"/>
              </w:numPr>
              <w:ind w:left="180" w:hanging="270"/>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 xml:space="preserve">Remembering </w:t>
            </w:r>
          </w:p>
        </w:tc>
        <w:tc>
          <w:tcPr>
            <w:tcW w:w="324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Recall or recognize information </w:t>
            </w:r>
          </w:p>
        </w:tc>
        <w:tc>
          <w:tcPr>
            <w:tcW w:w="513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Multiple-choice test, recount facts or statistics, recall a process, rules, definitions; quote law or procedure </w:t>
            </w:r>
          </w:p>
        </w:tc>
        <w:tc>
          <w:tcPr>
            <w:tcW w:w="360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Arrange, define, describe, label, list, memorize, recognize, relate, reproduce, select, state</w:t>
            </w:r>
          </w:p>
        </w:tc>
      </w:tr>
      <w:tr w:rsidR="00560248" w:rsidRPr="00A56ADF" w:rsidTr="008F4D3F">
        <w:tc>
          <w:tcPr>
            <w:tcW w:w="1818" w:type="dxa"/>
          </w:tcPr>
          <w:p w:rsidR="00560248" w:rsidRPr="00A56ADF" w:rsidRDefault="00560248" w:rsidP="00A56ADF">
            <w:pPr>
              <w:pStyle w:val="ListParagraph"/>
              <w:numPr>
                <w:ilvl w:val="0"/>
                <w:numId w:val="1"/>
              </w:numPr>
              <w:ind w:left="180" w:hanging="270"/>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 xml:space="preserve">Understanding </w:t>
            </w:r>
          </w:p>
        </w:tc>
        <w:tc>
          <w:tcPr>
            <w:tcW w:w="324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Understand meaning, re-state data in one's own words, interpret, extrapolate, translate </w:t>
            </w:r>
          </w:p>
        </w:tc>
        <w:tc>
          <w:tcPr>
            <w:tcW w:w="513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Explain or interpret meaning from a given scenario or statement, suggest treatment, reaction or solution to given problem, create examples or metaphors </w:t>
            </w:r>
          </w:p>
        </w:tc>
        <w:tc>
          <w:tcPr>
            <w:tcW w:w="360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Explain, reiterate, reword, critique, classify, summarize, illustrate, translate, review, report, discuss, re-write, estimate, interpret, theorize, paraphrase, reference, example</w:t>
            </w:r>
          </w:p>
        </w:tc>
      </w:tr>
      <w:tr w:rsidR="00560248" w:rsidRPr="00A56ADF" w:rsidTr="008F4D3F">
        <w:tc>
          <w:tcPr>
            <w:tcW w:w="1818" w:type="dxa"/>
          </w:tcPr>
          <w:p w:rsidR="00560248" w:rsidRPr="00A56ADF" w:rsidRDefault="00560248" w:rsidP="00A56ADF">
            <w:pPr>
              <w:pStyle w:val="ListParagraph"/>
              <w:numPr>
                <w:ilvl w:val="0"/>
                <w:numId w:val="1"/>
              </w:numPr>
              <w:ind w:left="180" w:hanging="270"/>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 xml:space="preserve">Applying </w:t>
            </w:r>
          </w:p>
        </w:tc>
        <w:tc>
          <w:tcPr>
            <w:tcW w:w="324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Use or apply knowledge, put theory into practice, use knowledge in response to real circumstances </w:t>
            </w:r>
          </w:p>
        </w:tc>
        <w:tc>
          <w:tcPr>
            <w:tcW w:w="513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Put a theory into practical effect, demonstrate, solve a problem, manage an activity </w:t>
            </w:r>
          </w:p>
        </w:tc>
        <w:tc>
          <w:tcPr>
            <w:tcW w:w="360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Use, apply, discover, manage, execute, solve, produce, implement, construct, change, prepare, conduct, perform, react, respond, role-play</w:t>
            </w:r>
          </w:p>
        </w:tc>
      </w:tr>
      <w:tr w:rsidR="00560248" w:rsidRPr="00A56ADF" w:rsidTr="008F4D3F">
        <w:tc>
          <w:tcPr>
            <w:tcW w:w="1818" w:type="dxa"/>
          </w:tcPr>
          <w:p w:rsidR="00560248" w:rsidRPr="00A56ADF" w:rsidRDefault="00560248" w:rsidP="00A56ADF">
            <w:pPr>
              <w:pStyle w:val="ListParagraph"/>
              <w:numPr>
                <w:ilvl w:val="0"/>
                <w:numId w:val="1"/>
              </w:numPr>
              <w:ind w:left="180" w:hanging="270"/>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Analyzing</w:t>
            </w:r>
          </w:p>
        </w:tc>
        <w:tc>
          <w:tcPr>
            <w:tcW w:w="324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Interpret elements, organizational principles, structure, construction, internal relationships; quality, reliability of individual components </w:t>
            </w:r>
          </w:p>
        </w:tc>
        <w:tc>
          <w:tcPr>
            <w:tcW w:w="513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Identify constituent parts and functions of a process or concept, or de-construct a methodology or process, making qualitative assessment of elements, relationships, values and effects; measure requirements or needs </w:t>
            </w:r>
          </w:p>
        </w:tc>
        <w:tc>
          <w:tcPr>
            <w:tcW w:w="360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Analyze, break down, catalogue, compare, quantify, measure, test, examine, experiment, relate, graph, diagram, plot, extrapolate, value, divide</w:t>
            </w:r>
          </w:p>
        </w:tc>
      </w:tr>
      <w:tr w:rsidR="00560248" w:rsidRPr="00A56ADF" w:rsidTr="008F4D3F">
        <w:tc>
          <w:tcPr>
            <w:tcW w:w="1818" w:type="dxa"/>
          </w:tcPr>
          <w:p w:rsidR="00560248" w:rsidRPr="00A56ADF" w:rsidRDefault="00560248" w:rsidP="00A56ADF">
            <w:pPr>
              <w:pStyle w:val="ListParagraph"/>
              <w:numPr>
                <w:ilvl w:val="0"/>
                <w:numId w:val="1"/>
              </w:numPr>
              <w:ind w:left="180" w:hanging="270"/>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 xml:space="preserve">Evaluating </w:t>
            </w:r>
          </w:p>
        </w:tc>
        <w:tc>
          <w:tcPr>
            <w:tcW w:w="324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Assess effectiveness of whole concepts, in relation to values, outputs, efficacy, viability; critical thinking, strategic comparison and review; judgment relating to external criteria </w:t>
            </w:r>
          </w:p>
        </w:tc>
        <w:tc>
          <w:tcPr>
            <w:tcW w:w="513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Review strategic options or plans in terms of efficacy, return on investment or cost-effectiveness, practicability; assess sustainability; perform a SWOT analysis in relation to alternatives; produce a financial justification for a proposition or venture, calculate the effects of a plan or strategy; perform a detailed risk analysis with recommendations and justifications </w:t>
            </w:r>
          </w:p>
        </w:tc>
        <w:tc>
          <w:tcPr>
            <w:tcW w:w="360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Review, justify, assess, present a case for, defend, report on, investigate, direct, appraise, argue, project-manage</w:t>
            </w:r>
          </w:p>
        </w:tc>
      </w:tr>
      <w:tr w:rsidR="00560248" w:rsidRPr="00A56ADF" w:rsidTr="008F4D3F">
        <w:tc>
          <w:tcPr>
            <w:tcW w:w="1818" w:type="dxa"/>
          </w:tcPr>
          <w:p w:rsidR="00560248" w:rsidRPr="00A56ADF" w:rsidRDefault="00560248" w:rsidP="00A56ADF">
            <w:pPr>
              <w:pStyle w:val="ListParagraph"/>
              <w:numPr>
                <w:ilvl w:val="0"/>
                <w:numId w:val="1"/>
              </w:numPr>
              <w:ind w:left="180" w:hanging="270"/>
              <w:rPr>
                <w:rFonts w:ascii="Helvetica" w:eastAsia="Times New Roman" w:hAnsi="Helvetica" w:cs="Times New Roman"/>
                <w:b/>
                <w:color w:val="000000"/>
                <w:sz w:val="20"/>
              </w:rPr>
            </w:pPr>
            <w:r w:rsidRPr="00A56ADF">
              <w:rPr>
                <w:rFonts w:ascii="Helvetica" w:eastAsia="Times New Roman" w:hAnsi="Helvetica" w:cs="Times New Roman"/>
                <w:b/>
                <w:color w:val="000000"/>
                <w:sz w:val="20"/>
              </w:rPr>
              <w:t>Creating</w:t>
            </w:r>
          </w:p>
        </w:tc>
        <w:tc>
          <w:tcPr>
            <w:tcW w:w="324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Develop new unique structures, systems, models, approaches, ideas; creative thinking, operations </w:t>
            </w:r>
          </w:p>
        </w:tc>
        <w:tc>
          <w:tcPr>
            <w:tcW w:w="5130" w:type="dxa"/>
          </w:tcPr>
          <w:p w:rsidR="00560248" w:rsidRPr="00A56ADF" w:rsidRDefault="00560248" w:rsidP="00A56ADF">
            <w:pPr>
              <w:rPr>
                <w:rFonts w:ascii="Helvetica" w:eastAsia="Times New Roman" w:hAnsi="Helvetica" w:cs="Times New Roman"/>
                <w:color w:val="000000"/>
                <w:sz w:val="20"/>
              </w:rPr>
            </w:pPr>
            <w:r w:rsidRPr="00A56ADF">
              <w:rPr>
                <w:rFonts w:ascii="Helvetica" w:eastAsia="Times New Roman" w:hAnsi="Helvetica" w:cs="Times New Roman"/>
                <w:color w:val="000000"/>
                <w:sz w:val="20"/>
              </w:rPr>
              <w:t xml:space="preserve">Develop plans or procedures, design solutions, integrate methods, resources, ideas, parts; create teams or new approaches, write protocols </w:t>
            </w:r>
            <w:r w:rsidR="00A56ADF">
              <w:rPr>
                <w:rFonts w:ascii="Helvetica" w:eastAsia="Times New Roman" w:hAnsi="Helvetica" w:cs="Times New Roman"/>
                <w:color w:val="000000"/>
                <w:sz w:val="20"/>
              </w:rPr>
              <w:t>&amp;</w:t>
            </w:r>
            <w:r w:rsidRPr="00A56ADF">
              <w:rPr>
                <w:rFonts w:ascii="Helvetica" w:eastAsia="Times New Roman" w:hAnsi="Helvetica" w:cs="Times New Roman"/>
                <w:color w:val="000000"/>
                <w:sz w:val="20"/>
              </w:rPr>
              <w:t xml:space="preserve"> contingencies </w:t>
            </w:r>
          </w:p>
        </w:tc>
        <w:tc>
          <w:tcPr>
            <w:tcW w:w="3600" w:type="dxa"/>
          </w:tcPr>
          <w:p w:rsidR="00560248" w:rsidRPr="00A56ADF" w:rsidRDefault="00560248">
            <w:pPr>
              <w:rPr>
                <w:rFonts w:ascii="Helvetica" w:eastAsia="Times New Roman" w:hAnsi="Helvetica" w:cs="Times New Roman"/>
                <w:color w:val="000000"/>
                <w:sz w:val="20"/>
              </w:rPr>
            </w:pPr>
            <w:r w:rsidRPr="00A56ADF">
              <w:rPr>
                <w:rFonts w:ascii="Helvetica" w:eastAsia="Times New Roman" w:hAnsi="Helvetica" w:cs="Times New Roman"/>
                <w:color w:val="000000"/>
                <w:sz w:val="20"/>
              </w:rPr>
              <w:t>Develop, plan, build, create, design, organize, revise, formulate, propose, establish, assemble, integrate, re-arrange, modify</w:t>
            </w:r>
          </w:p>
        </w:tc>
      </w:tr>
    </w:tbl>
    <w:p w:rsidR="00026958" w:rsidRPr="001F39B5" w:rsidRDefault="00026958" w:rsidP="00026958">
      <w:pPr>
        <w:spacing w:after="0"/>
        <w:rPr>
          <w:rFonts w:ascii="Helvetica" w:eastAsia="Times New Roman" w:hAnsi="Helvetica" w:cs="Times New Roman"/>
          <w:color w:val="000000"/>
          <w:sz w:val="22"/>
        </w:rPr>
      </w:pPr>
    </w:p>
    <w:p w:rsidR="00BB15A9" w:rsidRPr="001F39B5" w:rsidRDefault="00026958" w:rsidP="008F4D3F">
      <w:pPr>
        <w:spacing w:before="120" w:after="60"/>
        <w:rPr>
          <w:rFonts w:ascii="Helvetica" w:eastAsia="Times New Roman" w:hAnsi="Helvetica" w:cs="Times New Roman"/>
          <w:b/>
          <w:color w:val="000000"/>
        </w:rPr>
      </w:pPr>
      <w:r w:rsidRPr="001F39B5">
        <w:rPr>
          <w:rFonts w:ascii="Helvetica" w:eastAsia="Times New Roman" w:hAnsi="Helvetica" w:cs="Times New Roman"/>
          <w:b/>
          <w:color w:val="000000"/>
        </w:rPr>
        <w:t>2</w:t>
      </w:r>
      <w:r w:rsidR="00BB15A9" w:rsidRPr="001F39B5">
        <w:rPr>
          <w:rFonts w:ascii="Helvetica" w:eastAsia="Times New Roman" w:hAnsi="Helvetica" w:cs="Times New Roman"/>
          <w:b/>
          <w:color w:val="000000"/>
        </w:rPr>
        <w:t xml:space="preserve">. </w:t>
      </w:r>
      <w:r w:rsidRPr="001F39B5">
        <w:rPr>
          <w:rFonts w:ascii="Helvetica" w:eastAsia="Times New Roman" w:hAnsi="Helvetica" w:cs="Times New Roman"/>
          <w:b/>
          <w:color w:val="000000"/>
        </w:rPr>
        <w:t>Bloom’s</w:t>
      </w:r>
      <w:r w:rsidR="001F39B5">
        <w:rPr>
          <w:rFonts w:ascii="Helvetica" w:eastAsia="Times New Roman" w:hAnsi="Helvetica" w:cs="Times New Roman"/>
          <w:b/>
          <w:color w:val="000000"/>
        </w:rPr>
        <w:t xml:space="preserve"> Taxonomy - Affective D</w:t>
      </w:r>
      <w:r w:rsidR="00BB15A9" w:rsidRPr="001F39B5">
        <w:rPr>
          <w:rFonts w:ascii="Helvetica" w:eastAsia="Times New Roman" w:hAnsi="Helvetica" w:cs="Times New Roman"/>
          <w:b/>
          <w:color w:val="000000"/>
        </w:rPr>
        <w:t>omain - (emotions - attitude - 'feel')</w:t>
      </w:r>
    </w:p>
    <w:p w:rsidR="00BB15A9" w:rsidRPr="001F39B5" w:rsidRDefault="00BB15A9" w:rsidP="00A56ADF">
      <w:pPr>
        <w:spacing w:after="0"/>
        <w:ind w:left="270"/>
        <w:rPr>
          <w:rFonts w:ascii="Helvetica" w:eastAsia="Times New Roman" w:hAnsi="Helvetica" w:cs="Times New Roman"/>
          <w:color w:val="000000"/>
          <w:sz w:val="22"/>
        </w:rPr>
      </w:pPr>
      <w:r w:rsidRPr="001F39B5">
        <w:rPr>
          <w:rFonts w:ascii="Helvetica" w:eastAsia="Times New Roman" w:hAnsi="Helvetica" w:cs="Times New Roman"/>
          <w:color w:val="000000"/>
          <w:sz w:val="22"/>
        </w:rPr>
        <w:lastRenderedPageBreak/>
        <w:t xml:space="preserve">Bloom's Taxonomy second domain, the Affective Domain, was detailed by Bloom, </w:t>
      </w:r>
      <w:proofErr w:type="spellStart"/>
      <w:r w:rsidRPr="001F39B5">
        <w:rPr>
          <w:rFonts w:ascii="Helvetica" w:eastAsia="Times New Roman" w:hAnsi="Helvetica" w:cs="Times New Roman"/>
          <w:color w:val="000000"/>
          <w:sz w:val="22"/>
        </w:rPr>
        <w:t>Krathwhol</w:t>
      </w:r>
      <w:proofErr w:type="spellEnd"/>
      <w:r w:rsidRPr="001F39B5">
        <w:rPr>
          <w:rFonts w:ascii="Helvetica" w:eastAsia="Times New Roman" w:hAnsi="Helvetica" w:cs="Times New Roman"/>
          <w:color w:val="000000"/>
          <w:sz w:val="22"/>
        </w:rPr>
        <w:t xml:space="preserve"> and </w:t>
      </w:r>
      <w:proofErr w:type="spellStart"/>
      <w:r w:rsidRPr="001F39B5">
        <w:rPr>
          <w:rFonts w:ascii="Helvetica" w:eastAsia="Times New Roman" w:hAnsi="Helvetica" w:cs="Times New Roman"/>
          <w:color w:val="000000"/>
          <w:sz w:val="22"/>
        </w:rPr>
        <w:t>Masia</w:t>
      </w:r>
      <w:proofErr w:type="spellEnd"/>
      <w:r w:rsidRPr="001F39B5">
        <w:rPr>
          <w:rFonts w:ascii="Helvetica" w:eastAsia="Times New Roman" w:hAnsi="Helvetica" w:cs="Times New Roman"/>
          <w:color w:val="000000"/>
          <w:sz w:val="22"/>
        </w:rPr>
        <w:t xml:space="preserve"> </w:t>
      </w:r>
      <w:r w:rsidR="001F39B5">
        <w:rPr>
          <w:rFonts w:ascii="Helvetica" w:eastAsia="Times New Roman" w:hAnsi="Helvetica" w:cs="Times New Roman"/>
          <w:color w:val="000000"/>
          <w:sz w:val="22"/>
        </w:rPr>
        <w:t>(</w:t>
      </w:r>
      <w:r w:rsidRPr="001F39B5">
        <w:rPr>
          <w:rFonts w:ascii="Helvetica" w:eastAsia="Times New Roman" w:hAnsi="Helvetica" w:cs="Times New Roman"/>
          <w:color w:val="000000"/>
          <w:sz w:val="22"/>
        </w:rPr>
        <w:t>1964</w:t>
      </w:r>
      <w:r w:rsidR="001F39B5">
        <w:rPr>
          <w:rFonts w:ascii="Helvetica" w:eastAsia="Times New Roman" w:hAnsi="Helvetica" w:cs="Times New Roman"/>
          <w:color w:val="000000"/>
          <w:sz w:val="22"/>
        </w:rPr>
        <w:t xml:space="preserve">, </w:t>
      </w:r>
      <w:r w:rsidRPr="001F39B5">
        <w:rPr>
          <w:rFonts w:ascii="Helvetica" w:eastAsia="Times New Roman" w:hAnsi="Helvetica" w:cs="Times New Roman"/>
          <w:i/>
          <w:color w:val="000000"/>
          <w:sz w:val="22"/>
        </w:rPr>
        <w:t>Taxonomy o</w:t>
      </w:r>
      <w:r w:rsidR="001F39B5">
        <w:rPr>
          <w:rFonts w:ascii="Helvetica" w:eastAsia="Times New Roman" w:hAnsi="Helvetica" w:cs="Times New Roman"/>
          <w:i/>
          <w:color w:val="000000"/>
          <w:sz w:val="22"/>
        </w:rPr>
        <w:t>f Educational Objectives: Vol.</w:t>
      </w:r>
      <w:r w:rsidRPr="001F39B5">
        <w:rPr>
          <w:rFonts w:ascii="Helvetica" w:eastAsia="Times New Roman" w:hAnsi="Helvetica" w:cs="Times New Roman"/>
          <w:i/>
          <w:color w:val="000000"/>
          <w:sz w:val="22"/>
        </w:rPr>
        <w:t xml:space="preserve"> II</w:t>
      </w:r>
      <w:r w:rsidRPr="001F39B5">
        <w:rPr>
          <w:rFonts w:ascii="Helvetica" w:eastAsia="Times New Roman" w:hAnsi="Helvetica" w:cs="Times New Roman"/>
          <w:color w:val="000000"/>
          <w:sz w:val="22"/>
        </w:rPr>
        <w:t xml:space="preserve">, </w:t>
      </w:r>
      <w:r w:rsidRPr="001F39B5">
        <w:rPr>
          <w:rFonts w:ascii="Helvetica" w:eastAsia="Times New Roman" w:hAnsi="Helvetica" w:cs="Times New Roman"/>
          <w:i/>
          <w:color w:val="000000"/>
          <w:sz w:val="22"/>
        </w:rPr>
        <w:t>The Affective Domain</w:t>
      </w:r>
      <w:r w:rsidRPr="001F39B5">
        <w:rPr>
          <w:rFonts w:ascii="Helvetica" w:eastAsia="Times New Roman" w:hAnsi="Helvetica" w:cs="Times New Roman"/>
          <w:color w:val="000000"/>
          <w:sz w:val="22"/>
        </w:rPr>
        <w:t>. Bloom's theory advocates this structure and sequence for developing attitude - also now commonly expressed in the modern field of personal de</w:t>
      </w:r>
      <w:r w:rsidR="001F39B5">
        <w:rPr>
          <w:rFonts w:ascii="Helvetica" w:eastAsia="Times New Roman" w:hAnsi="Helvetica" w:cs="Times New Roman"/>
          <w:color w:val="000000"/>
          <w:sz w:val="22"/>
        </w:rPr>
        <w:t>velopment as 'beliefs'. A</w:t>
      </w:r>
      <w:r w:rsidRPr="001F39B5">
        <w:rPr>
          <w:rFonts w:ascii="Helvetica" w:eastAsia="Times New Roman" w:hAnsi="Helvetica" w:cs="Times New Roman"/>
          <w:color w:val="000000"/>
          <w:sz w:val="22"/>
        </w:rPr>
        <w:t>s with the other domains, the Affective Domain detail provides a framework for teaching, training, assessing and evaluating the effectiveness of training and lesson design and delivery, and also the retention by and affect upon the learner or trainee.</w:t>
      </w:r>
    </w:p>
    <w:p w:rsidR="00026958" w:rsidRPr="001F39B5" w:rsidRDefault="00026958" w:rsidP="00BB15A9">
      <w:pPr>
        <w:spacing w:after="0"/>
        <w:rPr>
          <w:rFonts w:ascii="Helvetica" w:eastAsia="Times New Roman" w:hAnsi="Helvetica" w:cs="Times New Roman"/>
          <w:b/>
          <w:color w:val="000000"/>
          <w:sz w:val="22"/>
        </w:rPr>
      </w:pPr>
    </w:p>
    <w:p w:rsidR="00BB15A9" w:rsidRPr="001F39B5" w:rsidRDefault="00026958" w:rsidP="00BB15A9">
      <w:pPr>
        <w:spacing w:after="0"/>
        <w:rPr>
          <w:rFonts w:ascii="Helvetica" w:eastAsia="Times New Roman" w:hAnsi="Helvetica" w:cs="Times New Roman"/>
          <w:b/>
          <w:color w:val="000000"/>
        </w:rPr>
      </w:pPr>
      <w:r w:rsidRPr="001F39B5">
        <w:rPr>
          <w:rFonts w:ascii="Helvetica" w:eastAsia="Times New Roman" w:hAnsi="Helvetica" w:cs="Times New Roman"/>
          <w:b/>
          <w:color w:val="000000"/>
        </w:rPr>
        <w:t>Affective D</w:t>
      </w:r>
      <w:r w:rsidR="00BB15A9" w:rsidRPr="001F39B5">
        <w:rPr>
          <w:rFonts w:ascii="Helvetica" w:eastAsia="Times New Roman" w:hAnsi="Helvetica" w:cs="Times New Roman"/>
          <w:b/>
          <w:color w:val="000000"/>
        </w:rPr>
        <w:t>omain</w:t>
      </w:r>
    </w:p>
    <w:tbl>
      <w:tblPr>
        <w:tblStyle w:val="TableGrid"/>
        <w:tblW w:w="0" w:type="auto"/>
        <w:tblInd w:w="108" w:type="dxa"/>
        <w:tblLook w:val="00BF"/>
      </w:tblPr>
      <w:tblGrid>
        <w:gridCol w:w="2250"/>
        <w:gridCol w:w="2610"/>
        <w:gridCol w:w="3860"/>
        <w:gridCol w:w="4870"/>
      </w:tblGrid>
      <w:tr w:rsidR="00560248" w:rsidRPr="001F39B5">
        <w:tc>
          <w:tcPr>
            <w:tcW w:w="2250" w:type="dxa"/>
          </w:tcPr>
          <w:p w:rsidR="00560248" w:rsidRPr="001F39B5" w:rsidRDefault="00560248">
            <w:pPr>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 xml:space="preserve">Category or 'level' </w:t>
            </w:r>
          </w:p>
        </w:tc>
        <w:tc>
          <w:tcPr>
            <w:tcW w:w="2610" w:type="dxa"/>
          </w:tcPr>
          <w:p w:rsidR="00560248" w:rsidRPr="001F39B5" w:rsidRDefault="00560248">
            <w:pPr>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 xml:space="preserve">Behavior descriptions </w:t>
            </w:r>
          </w:p>
        </w:tc>
        <w:tc>
          <w:tcPr>
            <w:tcW w:w="3860" w:type="dxa"/>
          </w:tcPr>
          <w:p w:rsidR="00560248" w:rsidRPr="001F39B5" w:rsidRDefault="00560248" w:rsidP="00A56ADF">
            <w:pPr>
              <w:spacing w:after="60"/>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 xml:space="preserve">Examples of experience, or demonstration and evidence to be measured </w:t>
            </w:r>
          </w:p>
        </w:tc>
        <w:tc>
          <w:tcPr>
            <w:tcW w:w="4870" w:type="dxa"/>
          </w:tcPr>
          <w:p w:rsidR="00560248" w:rsidRPr="001F39B5" w:rsidRDefault="00560248">
            <w:pPr>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'Key words' (verbs which describe the activity to be trained or measured at each level)</w:t>
            </w:r>
          </w:p>
        </w:tc>
      </w:tr>
      <w:tr w:rsidR="00560248" w:rsidRPr="001F39B5">
        <w:tc>
          <w:tcPr>
            <w:tcW w:w="2250" w:type="dxa"/>
          </w:tcPr>
          <w:p w:rsidR="00560248" w:rsidRPr="00A56ADF" w:rsidRDefault="00560248" w:rsidP="00E17CB7">
            <w:pPr>
              <w:pStyle w:val="ListParagraph"/>
              <w:numPr>
                <w:ilvl w:val="0"/>
                <w:numId w:val="8"/>
              </w:numPr>
              <w:spacing w:before="60" w:after="60"/>
              <w:ind w:left="252" w:hanging="270"/>
              <w:rPr>
                <w:rFonts w:ascii="Helvetica" w:eastAsia="Times New Roman" w:hAnsi="Helvetica" w:cs="Times New Roman"/>
                <w:b/>
                <w:color w:val="000000"/>
                <w:sz w:val="22"/>
              </w:rPr>
            </w:pPr>
            <w:r w:rsidRPr="00A56ADF">
              <w:rPr>
                <w:rFonts w:ascii="Helvetica" w:eastAsia="Times New Roman" w:hAnsi="Helvetica" w:cs="Times New Roman"/>
                <w:b/>
                <w:color w:val="000000"/>
                <w:sz w:val="22"/>
              </w:rPr>
              <w:t xml:space="preserve">Receiving </w:t>
            </w:r>
          </w:p>
        </w:tc>
        <w:tc>
          <w:tcPr>
            <w:tcW w:w="261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Open to experience, willing to hear </w:t>
            </w:r>
          </w:p>
        </w:tc>
        <w:tc>
          <w:tcPr>
            <w:tcW w:w="386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Listen to teacher or trainer, take interest in session or learning experience, take notes, turn up, make time for learning experience, participate passively </w:t>
            </w:r>
          </w:p>
        </w:tc>
        <w:tc>
          <w:tcPr>
            <w:tcW w:w="487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Ask, listen, focus, attend, take part, discuss, acknowledge, hear, be open to, retain, follow, concentrate, read, do, feel</w:t>
            </w:r>
          </w:p>
        </w:tc>
      </w:tr>
      <w:tr w:rsidR="00560248" w:rsidRPr="001F39B5">
        <w:tc>
          <w:tcPr>
            <w:tcW w:w="2250" w:type="dxa"/>
          </w:tcPr>
          <w:p w:rsidR="00560248" w:rsidRPr="00A56ADF" w:rsidRDefault="00560248" w:rsidP="00E17CB7">
            <w:pPr>
              <w:pStyle w:val="ListParagraph"/>
              <w:numPr>
                <w:ilvl w:val="0"/>
                <w:numId w:val="8"/>
              </w:numPr>
              <w:spacing w:before="60" w:after="60"/>
              <w:ind w:left="252" w:hanging="270"/>
              <w:rPr>
                <w:rFonts w:ascii="Helvetica" w:eastAsia="Times New Roman" w:hAnsi="Helvetica" w:cs="Times New Roman"/>
                <w:b/>
                <w:color w:val="000000"/>
                <w:sz w:val="22"/>
              </w:rPr>
            </w:pPr>
            <w:r w:rsidRPr="00A56ADF">
              <w:rPr>
                <w:rFonts w:ascii="Helvetica" w:eastAsia="Times New Roman" w:hAnsi="Helvetica" w:cs="Times New Roman"/>
                <w:b/>
                <w:color w:val="000000"/>
                <w:sz w:val="22"/>
              </w:rPr>
              <w:t xml:space="preserve">Responding </w:t>
            </w:r>
          </w:p>
        </w:tc>
        <w:tc>
          <w:tcPr>
            <w:tcW w:w="261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React and participate actively </w:t>
            </w:r>
          </w:p>
        </w:tc>
        <w:tc>
          <w:tcPr>
            <w:tcW w:w="386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Participate actively in group discussion, active participation in activity, interest in outcomes, enthusiasm for action, question and probe ideas, suggest interpretation </w:t>
            </w:r>
          </w:p>
        </w:tc>
        <w:tc>
          <w:tcPr>
            <w:tcW w:w="487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React, respond, seek clarification, interpret, clarify, provide other references and examples, contribute, question, present, cite, become animated or excited, help team, write, perform</w:t>
            </w:r>
          </w:p>
        </w:tc>
      </w:tr>
      <w:tr w:rsidR="00560248" w:rsidRPr="001F39B5">
        <w:tc>
          <w:tcPr>
            <w:tcW w:w="2250" w:type="dxa"/>
          </w:tcPr>
          <w:p w:rsidR="00560248" w:rsidRPr="00A56ADF" w:rsidRDefault="00560248" w:rsidP="00E17CB7">
            <w:pPr>
              <w:pStyle w:val="ListParagraph"/>
              <w:numPr>
                <w:ilvl w:val="0"/>
                <w:numId w:val="8"/>
              </w:numPr>
              <w:spacing w:before="60" w:after="60"/>
              <w:ind w:left="252" w:hanging="270"/>
              <w:rPr>
                <w:rFonts w:ascii="Helvetica" w:eastAsia="Times New Roman" w:hAnsi="Helvetica" w:cs="Times New Roman"/>
                <w:b/>
                <w:color w:val="000000"/>
                <w:sz w:val="22"/>
              </w:rPr>
            </w:pPr>
            <w:r w:rsidRPr="00A56ADF">
              <w:rPr>
                <w:rFonts w:ascii="Helvetica" w:eastAsia="Times New Roman" w:hAnsi="Helvetica" w:cs="Times New Roman"/>
                <w:b/>
                <w:color w:val="000000"/>
                <w:sz w:val="22"/>
              </w:rPr>
              <w:t xml:space="preserve">Valuing </w:t>
            </w:r>
          </w:p>
        </w:tc>
        <w:tc>
          <w:tcPr>
            <w:tcW w:w="261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Attach values and express personal opinions </w:t>
            </w:r>
          </w:p>
        </w:tc>
        <w:tc>
          <w:tcPr>
            <w:tcW w:w="386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Decide worth and relevance of ideas, experiences; accept or commit to particular stance or action </w:t>
            </w:r>
          </w:p>
        </w:tc>
        <w:tc>
          <w:tcPr>
            <w:tcW w:w="487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Argue, challenge, debate, refute, confront, justify, persuade, criticize,</w:t>
            </w:r>
          </w:p>
        </w:tc>
      </w:tr>
      <w:tr w:rsidR="00560248" w:rsidRPr="001F39B5">
        <w:tc>
          <w:tcPr>
            <w:tcW w:w="2250" w:type="dxa"/>
          </w:tcPr>
          <w:p w:rsidR="00560248" w:rsidRPr="00A56ADF" w:rsidRDefault="00560248" w:rsidP="00E17CB7">
            <w:pPr>
              <w:pStyle w:val="ListParagraph"/>
              <w:numPr>
                <w:ilvl w:val="0"/>
                <w:numId w:val="8"/>
              </w:numPr>
              <w:spacing w:before="60" w:after="60"/>
              <w:ind w:left="252" w:hanging="270"/>
              <w:rPr>
                <w:rFonts w:ascii="Helvetica" w:eastAsia="Times New Roman" w:hAnsi="Helvetica" w:cs="Times New Roman"/>
                <w:b/>
                <w:color w:val="000000"/>
                <w:sz w:val="22"/>
              </w:rPr>
            </w:pPr>
            <w:r w:rsidRPr="00A56ADF">
              <w:rPr>
                <w:rFonts w:ascii="Helvetica" w:eastAsia="Times New Roman" w:hAnsi="Helvetica" w:cs="Times New Roman"/>
                <w:b/>
                <w:color w:val="000000"/>
                <w:sz w:val="22"/>
              </w:rPr>
              <w:t xml:space="preserve">Organizing or Conceptualizing Values </w:t>
            </w:r>
          </w:p>
        </w:tc>
        <w:tc>
          <w:tcPr>
            <w:tcW w:w="261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Reconcile internal conflicts; develop value system </w:t>
            </w:r>
          </w:p>
        </w:tc>
        <w:tc>
          <w:tcPr>
            <w:tcW w:w="386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Qualify and quantify personal views, state personal position and reasons, state beliefs </w:t>
            </w:r>
          </w:p>
        </w:tc>
        <w:tc>
          <w:tcPr>
            <w:tcW w:w="487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Build, develop, formulate, defend, modify, relate, prioritize, reconcile, contrast, arrange, compare</w:t>
            </w:r>
          </w:p>
        </w:tc>
      </w:tr>
      <w:tr w:rsidR="00560248" w:rsidRPr="001F39B5">
        <w:tc>
          <w:tcPr>
            <w:tcW w:w="2250" w:type="dxa"/>
          </w:tcPr>
          <w:p w:rsidR="00560248" w:rsidRPr="00A56ADF" w:rsidRDefault="00560248" w:rsidP="00E17CB7">
            <w:pPr>
              <w:pStyle w:val="ListParagraph"/>
              <w:numPr>
                <w:ilvl w:val="0"/>
                <w:numId w:val="8"/>
              </w:numPr>
              <w:spacing w:before="60" w:after="60"/>
              <w:ind w:left="252" w:hanging="270"/>
              <w:rPr>
                <w:rFonts w:ascii="Helvetica" w:eastAsia="Times New Roman" w:hAnsi="Helvetica" w:cs="Times New Roman"/>
                <w:b/>
                <w:color w:val="000000"/>
                <w:sz w:val="22"/>
              </w:rPr>
            </w:pPr>
            <w:r w:rsidRPr="00A56ADF">
              <w:rPr>
                <w:rFonts w:ascii="Helvetica" w:eastAsia="Times New Roman" w:hAnsi="Helvetica" w:cs="Times New Roman"/>
                <w:b/>
                <w:color w:val="000000"/>
                <w:sz w:val="22"/>
              </w:rPr>
              <w:t xml:space="preserve">Internalizing Values </w:t>
            </w:r>
          </w:p>
        </w:tc>
        <w:tc>
          <w:tcPr>
            <w:tcW w:w="261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Adopt belief system and philosophy </w:t>
            </w:r>
          </w:p>
        </w:tc>
        <w:tc>
          <w:tcPr>
            <w:tcW w:w="386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Self-reliant; behave consistently with personal value set </w:t>
            </w:r>
          </w:p>
        </w:tc>
        <w:tc>
          <w:tcPr>
            <w:tcW w:w="4870" w:type="dxa"/>
          </w:tcPr>
          <w:p w:rsidR="00560248" w:rsidRPr="001F39B5" w:rsidRDefault="00560248" w:rsidP="00E17CB7">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Act, display, influence, solve, practice,</w:t>
            </w:r>
          </w:p>
        </w:tc>
      </w:tr>
    </w:tbl>
    <w:p w:rsidR="00BB15A9" w:rsidRPr="001F39B5" w:rsidRDefault="00BB15A9" w:rsidP="00BB15A9">
      <w:pPr>
        <w:spacing w:after="0"/>
        <w:rPr>
          <w:rFonts w:ascii="Helvetica" w:eastAsia="Times New Roman" w:hAnsi="Helvetica" w:cs="Times New Roman"/>
          <w:color w:val="000000"/>
          <w:sz w:val="22"/>
        </w:rPr>
      </w:pPr>
    </w:p>
    <w:p w:rsidR="00BB15A9" w:rsidRPr="001F39B5" w:rsidRDefault="001F39B5" w:rsidP="008F4D3F">
      <w:pPr>
        <w:spacing w:before="120" w:after="0"/>
        <w:rPr>
          <w:rFonts w:ascii="Helvetica" w:eastAsia="Times New Roman" w:hAnsi="Helvetica" w:cs="Times New Roman"/>
          <w:b/>
          <w:color w:val="000000"/>
        </w:rPr>
      </w:pPr>
      <w:r>
        <w:rPr>
          <w:rFonts w:ascii="Helvetica" w:eastAsia="Times New Roman" w:hAnsi="Helvetica" w:cs="Times New Roman"/>
          <w:b/>
          <w:color w:val="000000"/>
        </w:rPr>
        <w:br w:type="page"/>
      </w:r>
      <w:r w:rsidR="00BB15A9" w:rsidRPr="001F39B5">
        <w:rPr>
          <w:rFonts w:ascii="Helvetica" w:eastAsia="Times New Roman" w:hAnsi="Helvetica" w:cs="Times New Roman"/>
          <w:b/>
          <w:color w:val="000000"/>
        </w:rPr>
        <w:t xml:space="preserve">3. </w:t>
      </w:r>
      <w:r w:rsidR="00026958" w:rsidRPr="001F39B5">
        <w:rPr>
          <w:rFonts w:ascii="Helvetica" w:eastAsia="Times New Roman" w:hAnsi="Helvetica" w:cs="Times New Roman"/>
          <w:b/>
          <w:color w:val="000000"/>
        </w:rPr>
        <w:t>Bloom’s T</w:t>
      </w:r>
      <w:r w:rsidR="00E17CB7">
        <w:rPr>
          <w:rFonts w:ascii="Helvetica" w:eastAsia="Times New Roman" w:hAnsi="Helvetica" w:cs="Times New Roman"/>
          <w:b/>
          <w:color w:val="000000"/>
        </w:rPr>
        <w:t>axonomy - Psychomotor D</w:t>
      </w:r>
      <w:r w:rsidR="00BB15A9" w:rsidRPr="001F39B5">
        <w:rPr>
          <w:rFonts w:ascii="Helvetica" w:eastAsia="Times New Roman" w:hAnsi="Helvetica" w:cs="Times New Roman"/>
          <w:b/>
          <w:color w:val="000000"/>
        </w:rPr>
        <w:t>omain - (physical - skills - 'do')</w:t>
      </w:r>
    </w:p>
    <w:p w:rsidR="00BB15A9" w:rsidRPr="001F39B5" w:rsidRDefault="00BB15A9" w:rsidP="00BB15A9">
      <w:pPr>
        <w:spacing w:after="0"/>
        <w:rPr>
          <w:rFonts w:ascii="Helvetica" w:eastAsia="Times New Roman" w:hAnsi="Helvetica" w:cs="Times New Roman"/>
          <w:color w:val="000000"/>
          <w:sz w:val="22"/>
        </w:rPr>
      </w:pPr>
    </w:p>
    <w:p w:rsidR="00BB15A9" w:rsidRPr="001F39B5" w:rsidRDefault="00BB15A9" w:rsidP="00BB15A9">
      <w:pPr>
        <w:spacing w:after="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The Psychomotor Domain was established to address skills development relating to </w:t>
      </w:r>
      <w:r w:rsidR="00F20D04" w:rsidRPr="001F39B5">
        <w:rPr>
          <w:rFonts w:ascii="Helvetica" w:eastAsia="Times New Roman" w:hAnsi="Helvetica" w:cs="Times New Roman"/>
          <w:color w:val="000000"/>
          <w:sz w:val="22"/>
        </w:rPr>
        <w:t>the</w:t>
      </w:r>
      <w:r w:rsidRPr="001F39B5">
        <w:rPr>
          <w:rFonts w:ascii="Helvetica" w:eastAsia="Times New Roman" w:hAnsi="Helvetica" w:cs="Times New Roman"/>
          <w:color w:val="000000"/>
          <w:sz w:val="22"/>
        </w:rPr>
        <w:t xml:space="preserve"> physical </w:t>
      </w:r>
      <w:r w:rsidR="00F20D04" w:rsidRPr="001F39B5">
        <w:rPr>
          <w:rFonts w:ascii="Helvetica" w:eastAsia="Times New Roman" w:hAnsi="Helvetica" w:cs="Times New Roman"/>
          <w:color w:val="000000"/>
          <w:sz w:val="22"/>
        </w:rPr>
        <w:t>dimensions of accomplishing a task</w:t>
      </w:r>
      <w:r w:rsidRPr="001F39B5">
        <w:rPr>
          <w:rFonts w:ascii="Helvetica" w:eastAsia="Times New Roman" w:hAnsi="Helvetica" w:cs="Times New Roman"/>
          <w:color w:val="000000"/>
          <w:sz w:val="22"/>
        </w:rPr>
        <w:t xml:space="preserve">. </w:t>
      </w:r>
      <w:r w:rsidR="00026958" w:rsidRPr="001F39B5">
        <w:rPr>
          <w:rFonts w:ascii="Helvetica" w:eastAsia="Times New Roman" w:hAnsi="Helvetica" w:cs="Times New Roman"/>
          <w:color w:val="000000"/>
          <w:sz w:val="22"/>
        </w:rPr>
        <w:t>Because</w:t>
      </w:r>
      <w:r w:rsidRPr="001F39B5">
        <w:rPr>
          <w:rFonts w:ascii="Helvetica" w:eastAsia="Times New Roman" w:hAnsi="Helvetica" w:cs="Times New Roman"/>
          <w:color w:val="000000"/>
          <w:sz w:val="22"/>
        </w:rPr>
        <w:t xml:space="preserve">, 'motor' skills extend beyond the originally traditionally imagined manual and physical skills, always consider using this domain, even if you think your environment is covered adequately by the Cognitive and Affective Domains. Whatever the situation, it is likely that the Psychomotor Domain is significant. </w:t>
      </w:r>
    </w:p>
    <w:p w:rsidR="00026958" w:rsidRPr="001F39B5" w:rsidRDefault="00026958" w:rsidP="00BB15A9">
      <w:pPr>
        <w:spacing w:after="0"/>
        <w:rPr>
          <w:rFonts w:ascii="Helvetica" w:eastAsia="Times New Roman" w:hAnsi="Helvetica" w:cs="Times New Roman"/>
          <w:color w:val="000000"/>
          <w:sz w:val="22"/>
        </w:rPr>
      </w:pPr>
    </w:p>
    <w:p w:rsidR="00063775" w:rsidRPr="008F4D3F" w:rsidRDefault="00560248" w:rsidP="00BB15A9">
      <w:pPr>
        <w:spacing w:after="0"/>
        <w:rPr>
          <w:rFonts w:ascii="Helvetica" w:eastAsia="Times New Roman" w:hAnsi="Helvetica" w:cs="Times New Roman"/>
          <w:b/>
          <w:color w:val="000000"/>
        </w:rPr>
      </w:pPr>
      <w:r w:rsidRPr="008F4D3F">
        <w:rPr>
          <w:rFonts w:ascii="Helvetica" w:eastAsia="Times New Roman" w:hAnsi="Helvetica" w:cs="Times New Roman"/>
          <w:b/>
          <w:color w:val="000000"/>
        </w:rPr>
        <w:t xml:space="preserve">Dave’s </w:t>
      </w:r>
      <w:r w:rsidR="00026958" w:rsidRPr="008F4D3F">
        <w:rPr>
          <w:rFonts w:ascii="Helvetica" w:eastAsia="Times New Roman" w:hAnsi="Helvetica" w:cs="Times New Roman"/>
          <w:b/>
          <w:color w:val="000000"/>
        </w:rPr>
        <w:t>Psychomotor D</w:t>
      </w:r>
      <w:r w:rsidR="00BB15A9" w:rsidRPr="008F4D3F">
        <w:rPr>
          <w:rFonts w:ascii="Helvetica" w:eastAsia="Times New Roman" w:hAnsi="Helvetica" w:cs="Times New Roman"/>
          <w:b/>
          <w:color w:val="000000"/>
        </w:rPr>
        <w:t>omain</w:t>
      </w:r>
    </w:p>
    <w:tbl>
      <w:tblPr>
        <w:tblStyle w:val="TableGrid"/>
        <w:tblW w:w="0" w:type="auto"/>
        <w:tblLook w:val="00BF"/>
      </w:tblPr>
      <w:tblGrid>
        <w:gridCol w:w="2325"/>
        <w:gridCol w:w="3453"/>
        <w:gridCol w:w="3647"/>
        <w:gridCol w:w="4273"/>
      </w:tblGrid>
      <w:tr w:rsidR="00F20D04" w:rsidRPr="001F39B5" w:rsidTr="008F4D3F">
        <w:tc>
          <w:tcPr>
            <w:tcW w:w="2325" w:type="dxa"/>
          </w:tcPr>
          <w:p w:rsidR="00F20D04" w:rsidRPr="001F39B5" w:rsidRDefault="00F20D04" w:rsidP="00063775">
            <w:pPr>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 xml:space="preserve">Category or 'level' </w:t>
            </w:r>
          </w:p>
        </w:tc>
        <w:tc>
          <w:tcPr>
            <w:tcW w:w="3453" w:type="dxa"/>
          </w:tcPr>
          <w:p w:rsidR="00F20D04" w:rsidRPr="001F39B5" w:rsidRDefault="00F20D04" w:rsidP="00063775">
            <w:pPr>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Behavior descriptions</w:t>
            </w:r>
          </w:p>
        </w:tc>
        <w:tc>
          <w:tcPr>
            <w:tcW w:w="3647" w:type="dxa"/>
          </w:tcPr>
          <w:p w:rsidR="00F20D04" w:rsidRPr="001F39B5" w:rsidRDefault="00F20D04">
            <w:pPr>
              <w:rPr>
                <w:rFonts w:ascii="Helvetica" w:eastAsia="Times New Roman" w:hAnsi="Helvetica" w:cs="Times New Roman"/>
                <w:b/>
                <w:color w:val="000000"/>
                <w:sz w:val="22"/>
              </w:rPr>
            </w:pPr>
            <w:r w:rsidRPr="001F39B5">
              <w:rPr>
                <w:rFonts w:ascii="Helvetica" w:hAnsi="Helvetica"/>
                <w:b/>
                <w:color w:val="000000"/>
                <w:sz w:val="22"/>
              </w:rPr>
              <w:t>Examples of activity or demonstration and evidence to be measured</w:t>
            </w:r>
          </w:p>
        </w:tc>
        <w:tc>
          <w:tcPr>
            <w:tcW w:w="4273" w:type="dxa"/>
          </w:tcPr>
          <w:p w:rsidR="00F20D04" w:rsidRPr="001F39B5" w:rsidRDefault="00F20D04" w:rsidP="008F4D3F">
            <w:pPr>
              <w:spacing w:after="60"/>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'Key words' (verbs which describe the activity to be trained or measured at each level)</w:t>
            </w:r>
          </w:p>
        </w:tc>
      </w:tr>
      <w:tr w:rsidR="00F20D04" w:rsidRPr="001F39B5" w:rsidTr="008F4D3F">
        <w:tc>
          <w:tcPr>
            <w:tcW w:w="2325" w:type="dxa"/>
          </w:tcPr>
          <w:p w:rsidR="00F20D04" w:rsidRPr="001F39B5" w:rsidRDefault="00F20D04" w:rsidP="00E17CB7">
            <w:pPr>
              <w:pStyle w:val="ListParagraph"/>
              <w:numPr>
                <w:ilvl w:val="0"/>
                <w:numId w:val="3"/>
              </w:numPr>
              <w:spacing w:before="60"/>
              <w:ind w:left="270" w:hanging="278"/>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 xml:space="preserve">Imitation </w:t>
            </w:r>
          </w:p>
        </w:tc>
        <w:tc>
          <w:tcPr>
            <w:tcW w:w="3453" w:type="dxa"/>
          </w:tcPr>
          <w:p w:rsidR="00F20D04" w:rsidRPr="001F39B5" w:rsidRDefault="00F20D04" w:rsidP="008F4D3F">
            <w:pPr>
              <w:spacing w:before="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Copy action of another; observe and replicate </w:t>
            </w:r>
          </w:p>
        </w:tc>
        <w:tc>
          <w:tcPr>
            <w:tcW w:w="3647" w:type="dxa"/>
          </w:tcPr>
          <w:p w:rsidR="00F20D04" w:rsidRPr="001F39B5" w:rsidRDefault="00F20D04" w:rsidP="008F4D3F">
            <w:pPr>
              <w:spacing w:before="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Watch teacher or trainer and repeat action, process or activity </w:t>
            </w:r>
          </w:p>
        </w:tc>
        <w:tc>
          <w:tcPr>
            <w:tcW w:w="4273" w:type="dxa"/>
          </w:tcPr>
          <w:p w:rsidR="00F20D04" w:rsidRPr="001F39B5" w:rsidRDefault="00F20D04" w:rsidP="008F4D3F">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Copy, follow, replicate, repeat, adhere, attempt, reproduce, organize, sketch, duplicate</w:t>
            </w:r>
          </w:p>
        </w:tc>
      </w:tr>
      <w:tr w:rsidR="00F20D04" w:rsidRPr="001F39B5" w:rsidTr="008F4D3F">
        <w:tc>
          <w:tcPr>
            <w:tcW w:w="2325" w:type="dxa"/>
          </w:tcPr>
          <w:p w:rsidR="00F20D04" w:rsidRPr="001F39B5" w:rsidRDefault="00F20D04" w:rsidP="00E17CB7">
            <w:pPr>
              <w:pStyle w:val="ListParagraph"/>
              <w:numPr>
                <w:ilvl w:val="0"/>
                <w:numId w:val="3"/>
              </w:numPr>
              <w:spacing w:before="60"/>
              <w:ind w:left="270" w:hanging="278"/>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 xml:space="preserve">Manipulation </w:t>
            </w:r>
          </w:p>
        </w:tc>
        <w:tc>
          <w:tcPr>
            <w:tcW w:w="3453" w:type="dxa"/>
          </w:tcPr>
          <w:p w:rsidR="00F20D04" w:rsidRPr="001F39B5" w:rsidRDefault="00F20D04" w:rsidP="008F4D3F">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Reproduce activity from instruction or memory </w:t>
            </w:r>
          </w:p>
        </w:tc>
        <w:tc>
          <w:tcPr>
            <w:tcW w:w="3647" w:type="dxa"/>
          </w:tcPr>
          <w:p w:rsidR="00F20D04" w:rsidRPr="001F39B5" w:rsidRDefault="00F20D04" w:rsidP="008F4D3F">
            <w:pPr>
              <w:spacing w:before="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Carry out task from written or verbal instruction </w:t>
            </w:r>
          </w:p>
        </w:tc>
        <w:tc>
          <w:tcPr>
            <w:tcW w:w="4273" w:type="dxa"/>
          </w:tcPr>
          <w:p w:rsidR="00F20D04" w:rsidRPr="001F39B5" w:rsidRDefault="00F20D04" w:rsidP="008F4D3F">
            <w:pPr>
              <w:spacing w:before="60"/>
              <w:rPr>
                <w:rFonts w:ascii="Helvetica" w:eastAsia="Times New Roman" w:hAnsi="Helvetica" w:cs="Times New Roman"/>
                <w:color w:val="000000"/>
                <w:sz w:val="22"/>
              </w:rPr>
            </w:pPr>
            <w:r w:rsidRPr="001F39B5">
              <w:rPr>
                <w:rFonts w:ascii="Helvetica" w:eastAsia="Times New Roman" w:hAnsi="Helvetica" w:cs="Times New Roman"/>
                <w:color w:val="000000"/>
                <w:sz w:val="22"/>
              </w:rPr>
              <w:t>Re-create, build, perform, execute, implement, a</w:t>
            </w:r>
            <w:r w:rsidR="002E4EF7" w:rsidRPr="001F39B5">
              <w:rPr>
                <w:rFonts w:ascii="Helvetica" w:eastAsia="Times New Roman" w:hAnsi="Helvetica" w:cs="Times New Roman"/>
                <w:color w:val="000000"/>
                <w:sz w:val="22"/>
              </w:rPr>
              <w:t>c</w:t>
            </w:r>
            <w:r w:rsidRPr="001F39B5">
              <w:rPr>
                <w:rFonts w:ascii="Helvetica" w:eastAsia="Times New Roman" w:hAnsi="Helvetica" w:cs="Times New Roman"/>
                <w:color w:val="000000"/>
                <w:sz w:val="22"/>
              </w:rPr>
              <w:t>quire</w:t>
            </w:r>
            <w:r w:rsidR="002E4EF7" w:rsidRPr="001F39B5">
              <w:rPr>
                <w:rFonts w:ascii="Helvetica" w:eastAsia="Times New Roman" w:hAnsi="Helvetica" w:cs="Times New Roman"/>
                <w:color w:val="000000"/>
                <w:sz w:val="22"/>
              </w:rPr>
              <w:t>, conduct, operate</w:t>
            </w:r>
          </w:p>
        </w:tc>
      </w:tr>
      <w:tr w:rsidR="00F20D04" w:rsidRPr="001F39B5" w:rsidTr="008F4D3F">
        <w:tc>
          <w:tcPr>
            <w:tcW w:w="2325" w:type="dxa"/>
          </w:tcPr>
          <w:p w:rsidR="00F20D04" w:rsidRPr="001F39B5" w:rsidRDefault="00F20D04" w:rsidP="00E17CB7">
            <w:pPr>
              <w:pStyle w:val="ListParagraph"/>
              <w:numPr>
                <w:ilvl w:val="0"/>
                <w:numId w:val="3"/>
              </w:numPr>
              <w:spacing w:before="60"/>
              <w:ind w:left="270" w:hanging="278"/>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 xml:space="preserve">Precision </w:t>
            </w:r>
          </w:p>
        </w:tc>
        <w:tc>
          <w:tcPr>
            <w:tcW w:w="3453" w:type="dxa"/>
          </w:tcPr>
          <w:p w:rsidR="00F20D04" w:rsidRPr="001F39B5" w:rsidRDefault="00F20D04" w:rsidP="008F4D3F">
            <w:pPr>
              <w:spacing w:before="60"/>
              <w:rPr>
                <w:rFonts w:ascii="Helvetica" w:eastAsia="Times New Roman" w:hAnsi="Helvetica" w:cs="Times New Roman"/>
                <w:color w:val="000000"/>
                <w:sz w:val="22"/>
              </w:rPr>
            </w:pPr>
            <w:r w:rsidRPr="001F39B5">
              <w:rPr>
                <w:rFonts w:ascii="Helvetica" w:eastAsia="Times New Roman" w:hAnsi="Helvetica" w:cs="Times New Roman"/>
                <w:color w:val="000000"/>
                <w:sz w:val="22"/>
              </w:rPr>
              <w:t>Execute skill reliably, independent of help, activity is quick, smooth, and accurate</w:t>
            </w:r>
          </w:p>
        </w:tc>
        <w:tc>
          <w:tcPr>
            <w:tcW w:w="3647" w:type="dxa"/>
          </w:tcPr>
          <w:p w:rsidR="00F20D04" w:rsidRPr="001F39B5" w:rsidRDefault="00F20D04" w:rsidP="008F4D3F">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Perform a task or activity with expertise and to high quality without assistance or instruction; able to demonstrate an activity to other learners </w:t>
            </w:r>
          </w:p>
        </w:tc>
        <w:tc>
          <w:tcPr>
            <w:tcW w:w="4273" w:type="dxa"/>
          </w:tcPr>
          <w:p w:rsidR="00F20D04" w:rsidRPr="001F39B5" w:rsidRDefault="00F20D04" w:rsidP="008F4D3F">
            <w:pPr>
              <w:spacing w:before="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Demonstrate, complete, show, perfect, calibrate, control, </w:t>
            </w:r>
            <w:r w:rsidR="002E4EF7" w:rsidRPr="001F39B5">
              <w:rPr>
                <w:rFonts w:ascii="Helvetica" w:eastAsia="Times New Roman" w:hAnsi="Helvetica" w:cs="Times New Roman"/>
                <w:color w:val="000000"/>
                <w:sz w:val="22"/>
              </w:rPr>
              <w:t>achieve</w:t>
            </w:r>
            <w:r w:rsidRPr="001F39B5">
              <w:rPr>
                <w:rFonts w:ascii="Helvetica" w:eastAsia="Times New Roman" w:hAnsi="Helvetica" w:cs="Times New Roman"/>
                <w:color w:val="000000"/>
                <w:sz w:val="22"/>
              </w:rPr>
              <w:t xml:space="preserve">, </w:t>
            </w:r>
            <w:r w:rsidR="002E4EF7" w:rsidRPr="001F39B5">
              <w:rPr>
                <w:rFonts w:ascii="Helvetica" w:eastAsia="Times New Roman" w:hAnsi="Helvetica" w:cs="Times New Roman"/>
                <w:color w:val="000000"/>
                <w:sz w:val="22"/>
              </w:rPr>
              <w:t>accomplish, master, refine</w:t>
            </w:r>
          </w:p>
        </w:tc>
      </w:tr>
      <w:tr w:rsidR="00F20D04" w:rsidRPr="001F39B5" w:rsidTr="008F4D3F">
        <w:tc>
          <w:tcPr>
            <w:tcW w:w="2325" w:type="dxa"/>
          </w:tcPr>
          <w:p w:rsidR="00F20D04" w:rsidRPr="001F39B5" w:rsidRDefault="00F20D04" w:rsidP="00E17CB7">
            <w:pPr>
              <w:pStyle w:val="ListParagraph"/>
              <w:numPr>
                <w:ilvl w:val="0"/>
                <w:numId w:val="3"/>
              </w:numPr>
              <w:spacing w:before="60"/>
              <w:ind w:left="270" w:hanging="278"/>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 xml:space="preserve">Articulation </w:t>
            </w:r>
          </w:p>
        </w:tc>
        <w:tc>
          <w:tcPr>
            <w:tcW w:w="3453" w:type="dxa"/>
          </w:tcPr>
          <w:p w:rsidR="00F20D04" w:rsidRPr="001F39B5" w:rsidRDefault="00F20D04" w:rsidP="008F4D3F">
            <w:pPr>
              <w:spacing w:before="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Adapt and integrate expertise to satisfy a new context or task </w:t>
            </w:r>
          </w:p>
        </w:tc>
        <w:tc>
          <w:tcPr>
            <w:tcW w:w="3647" w:type="dxa"/>
          </w:tcPr>
          <w:p w:rsidR="00F20D04" w:rsidRPr="001F39B5" w:rsidRDefault="00F20D04" w:rsidP="008F4D3F">
            <w:pPr>
              <w:spacing w:before="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Relate and combine associated activities to develop methods to meet varying, novel requirements </w:t>
            </w:r>
          </w:p>
        </w:tc>
        <w:tc>
          <w:tcPr>
            <w:tcW w:w="4273" w:type="dxa"/>
          </w:tcPr>
          <w:p w:rsidR="00F20D04" w:rsidRPr="001F39B5" w:rsidRDefault="002E4EF7" w:rsidP="008F4D3F">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S</w:t>
            </w:r>
            <w:r w:rsidR="00F20D04" w:rsidRPr="001F39B5">
              <w:rPr>
                <w:rFonts w:ascii="Helvetica" w:eastAsia="Times New Roman" w:hAnsi="Helvetica" w:cs="Times New Roman"/>
                <w:color w:val="000000"/>
                <w:sz w:val="22"/>
              </w:rPr>
              <w:t xml:space="preserve">olve, </w:t>
            </w:r>
            <w:r w:rsidRPr="001F39B5">
              <w:rPr>
                <w:rFonts w:ascii="Helvetica" w:eastAsia="Times New Roman" w:hAnsi="Helvetica" w:cs="Times New Roman"/>
                <w:color w:val="000000"/>
                <w:sz w:val="22"/>
              </w:rPr>
              <w:t xml:space="preserve">adapt, </w:t>
            </w:r>
            <w:r w:rsidR="00F20D04" w:rsidRPr="001F39B5">
              <w:rPr>
                <w:rFonts w:ascii="Helvetica" w:eastAsia="Times New Roman" w:hAnsi="Helvetica" w:cs="Times New Roman"/>
                <w:color w:val="000000"/>
                <w:sz w:val="22"/>
              </w:rPr>
              <w:t xml:space="preserve">combine, coordinate, </w:t>
            </w:r>
            <w:r w:rsidRPr="001F39B5">
              <w:rPr>
                <w:rFonts w:ascii="Helvetica" w:eastAsia="Times New Roman" w:hAnsi="Helvetica" w:cs="Times New Roman"/>
                <w:color w:val="000000"/>
                <w:sz w:val="22"/>
              </w:rPr>
              <w:t xml:space="preserve">revise, </w:t>
            </w:r>
            <w:r w:rsidR="00F20D04" w:rsidRPr="001F39B5">
              <w:rPr>
                <w:rFonts w:ascii="Helvetica" w:eastAsia="Times New Roman" w:hAnsi="Helvetica" w:cs="Times New Roman"/>
                <w:color w:val="000000"/>
                <w:sz w:val="22"/>
              </w:rPr>
              <w:t>integrate, adapt, develop, formulate, modify, master</w:t>
            </w:r>
          </w:p>
        </w:tc>
      </w:tr>
      <w:tr w:rsidR="00F20D04" w:rsidRPr="001F39B5" w:rsidTr="008F4D3F">
        <w:tc>
          <w:tcPr>
            <w:tcW w:w="2325" w:type="dxa"/>
          </w:tcPr>
          <w:p w:rsidR="00F20D04" w:rsidRPr="001F39B5" w:rsidRDefault="00F20D04" w:rsidP="00E17CB7">
            <w:pPr>
              <w:pStyle w:val="ListParagraph"/>
              <w:numPr>
                <w:ilvl w:val="0"/>
                <w:numId w:val="3"/>
              </w:numPr>
              <w:spacing w:before="60"/>
              <w:ind w:left="270" w:hanging="278"/>
              <w:rPr>
                <w:rFonts w:ascii="Helvetica" w:eastAsia="Times New Roman" w:hAnsi="Helvetica" w:cs="Times New Roman"/>
                <w:b/>
                <w:color w:val="000000"/>
                <w:sz w:val="22"/>
              </w:rPr>
            </w:pPr>
            <w:r w:rsidRPr="001F39B5">
              <w:rPr>
                <w:rFonts w:ascii="Helvetica" w:eastAsia="Times New Roman" w:hAnsi="Helvetica" w:cs="Times New Roman"/>
                <w:b/>
                <w:color w:val="000000"/>
                <w:sz w:val="22"/>
              </w:rPr>
              <w:t xml:space="preserve">Naturalization </w:t>
            </w:r>
          </w:p>
        </w:tc>
        <w:tc>
          <w:tcPr>
            <w:tcW w:w="3453" w:type="dxa"/>
          </w:tcPr>
          <w:p w:rsidR="00F20D04" w:rsidRPr="001F39B5" w:rsidRDefault="00F20D04" w:rsidP="008F4D3F">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Instinctive, effortless, unconscious mastery of activity and related skills at strategic level </w:t>
            </w:r>
          </w:p>
        </w:tc>
        <w:tc>
          <w:tcPr>
            <w:tcW w:w="3647" w:type="dxa"/>
          </w:tcPr>
          <w:p w:rsidR="00F20D04" w:rsidRPr="001F39B5" w:rsidRDefault="00F20D04" w:rsidP="008F4D3F">
            <w:pPr>
              <w:spacing w:before="60"/>
              <w:rPr>
                <w:rFonts w:ascii="Helvetica" w:eastAsia="Times New Roman" w:hAnsi="Helvetica" w:cs="Times New Roman"/>
                <w:color w:val="000000"/>
                <w:sz w:val="22"/>
              </w:rPr>
            </w:pPr>
            <w:r w:rsidRPr="001F39B5">
              <w:rPr>
                <w:rFonts w:ascii="Helvetica" w:eastAsia="Times New Roman" w:hAnsi="Helvetica" w:cs="Times New Roman"/>
                <w:color w:val="000000"/>
                <w:sz w:val="22"/>
              </w:rPr>
              <w:t xml:space="preserve">Define aim, approach and strategy for use of activities to meet strategic need </w:t>
            </w:r>
          </w:p>
        </w:tc>
        <w:tc>
          <w:tcPr>
            <w:tcW w:w="4273" w:type="dxa"/>
          </w:tcPr>
          <w:p w:rsidR="00F20D04" w:rsidRPr="001F39B5" w:rsidRDefault="002E4EF7" w:rsidP="008F4D3F">
            <w:pPr>
              <w:spacing w:before="60" w:after="60"/>
              <w:rPr>
                <w:rFonts w:ascii="Helvetica" w:eastAsia="Times New Roman" w:hAnsi="Helvetica" w:cs="Times New Roman"/>
                <w:color w:val="000000"/>
                <w:sz w:val="22"/>
              </w:rPr>
            </w:pPr>
            <w:r w:rsidRPr="001F39B5">
              <w:rPr>
                <w:rFonts w:ascii="Helvetica" w:eastAsia="Times New Roman" w:hAnsi="Helvetica" w:cs="Times New Roman"/>
                <w:color w:val="000000"/>
                <w:sz w:val="22"/>
              </w:rPr>
              <w:t>Construct, compose, create, d</w:t>
            </w:r>
            <w:r w:rsidR="00F20D04" w:rsidRPr="001F39B5">
              <w:rPr>
                <w:rFonts w:ascii="Helvetica" w:eastAsia="Times New Roman" w:hAnsi="Helvetica" w:cs="Times New Roman"/>
                <w:color w:val="000000"/>
                <w:sz w:val="22"/>
              </w:rPr>
              <w:t>esign, specify, manage, invent, project-manage</w:t>
            </w:r>
            <w:r w:rsidRPr="001F39B5">
              <w:rPr>
                <w:rFonts w:ascii="Helvetica" w:eastAsia="Times New Roman" w:hAnsi="Helvetica" w:cs="Times New Roman"/>
                <w:color w:val="000000"/>
                <w:sz w:val="22"/>
              </w:rPr>
              <w:t>, originate</w:t>
            </w:r>
          </w:p>
        </w:tc>
      </w:tr>
    </w:tbl>
    <w:p w:rsidR="00063775" w:rsidRPr="001F39B5" w:rsidRDefault="00063775" w:rsidP="00063775">
      <w:pPr>
        <w:spacing w:after="0"/>
        <w:rPr>
          <w:rFonts w:ascii="Helvetica" w:eastAsia="Times New Roman" w:hAnsi="Helvetica" w:cs="Times New Roman"/>
          <w:color w:val="000000"/>
          <w:sz w:val="22"/>
        </w:rPr>
      </w:pPr>
    </w:p>
    <w:p w:rsidR="00AD5CC9" w:rsidRPr="008F4D3F" w:rsidRDefault="00063775" w:rsidP="00063775">
      <w:pPr>
        <w:rPr>
          <w:rFonts w:ascii="Helvetica" w:eastAsia="Times New Roman" w:hAnsi="Helvetica" w:cs="Times New Roman"/>
          <w:color w:val="000000"/>
          <w:sz w:val="20"/>
        </w:rPr>
      </w:pPr>
      <w:r w:rsidRPr="008F4D3F">
        <w:rPr>
          <w:rFonts w:ascii="Helvetica" w:eastAsia="Times New Roman" w:hAnsi="Helvetica" w:cs="Times New Roman"/>
          <w:color w:val="000000"/>
          <w:sz w:val="20"/>
        </w:rPr>
        <w:t>Based on RH Dave's version of the Psychomotor Domain (</w:t>
      </w:r>
      <w:r w:rsidRPr="008F4D3F">
        <w:rPr>
          <w:rFonts w:ascii="Helvetica" w:eastAsia="Times New Roman" w:hAnsi="Helvetica" w:cs="Times New Roman"/>
          <w:i/>
          <w:color w:val="000000"/>
          <w:sz w:val="20"/>
        </w:rPr>
        <w:t>Developing and Writing Behavioral Objectives</w:t>
      </w:r>
      <w:r w:rsidRPr="008F4D3F">
        <w:rPr>
          <w:rFonts w:ascii="Helvetica" w:eastAsia="Times New Roman" w:hAnsi="Helvetica" w:cs="Times New Roman"/>
          <w:color w:val="000000"/>
          <w:sz w:val="20"/>
        </w:rPr>
        <w:t>, 1970</w:t>
      </w:r>
      <w:r w:rsidR="001F39B5" w:rsidRPr="008F4D3F">
        <w:rPr>
          <w:rFonts w:ascii="Helvetica" w:eastAsia="Times New Roman" w:hAnsi="Helvetica" w:cs="Times New Roman"/>
          <w:color w:val="000000"/>
          <w:sz w:val="20"/>
        </w:rPr>
        <w:t>)</w:t>
      </w:r>
      <w:r w:rsidRPr="008F4D3F">
        <w:rPr>
          <w:rFonts w:ascii="Helvetica" w:eastAsia="Times New Roman" w:hAnsi="Helvetica" w:cs="Times New Roman"/>
          <w:color w:val="000000"/>
          <w:sz w:val="20"/>
        </w:rPr>
        <w:t>. The theory was first presented at a Berlin conference 1967, hence you may see Dave's model attributed to 1967 or 1970).</w:t>
      </w:r>
    </w:p>
    <w:sectPr w:rsidR="00AD5CC9" w:rsidRPr="008F4D3F" w:rsidSect="008F4D3F">
      <w:pgSz w:w="15840" w:h="12240" w:orient="landscape"/>
      <w:pgMar w:top="1152" w:right="1152" w:bottom="864"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6E73"/>
    <w:multiLevelType w:val="hybridMultilevel"/>
    <w:tmpl w:val="26862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73280"/>
    <w:multiLevelType w:val="hybridMultilevel"/>
    <w:tmpl w:val="0AC4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1447A"/>
    <w:multiLevelType w:val="hybridMultilevel"/>
    <w:tmpl w:val="68D2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E76AB9"/>
    <w:multiLevelType w:val="multilevel"/>
    <w:tmpl w:val="697C2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04750D"/>
    <w:multiLevelType w:val="hybridMultilevel"/>
    <w:tmpl w:val="65247750"/>
    <w:lvl w:ilvl="0" w:tplc="F7925640">
      <w:numFmt w:val="bullet"/>
      <w:lvlText w:val=""/>
      <w:lvlJc w:val="left"/>
      <w:pPr>
        <w:ind w:left="6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D2778"/>
    <w:multiLevelType w:val="hybridMultilevel"/>
    <w:tmpl w:val="697C2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F4869"/>
    <w:multiLevelType w:val="multilevel"/>
    <w:tmpl w:val="2508F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5A636BE"/>
    <w:multiLevelType w:val="hybridMultilevel"/>
    <w:tmpl w:val="1C9E1C88"/>
    <w:lvl w:ilvl="0" w:tplc="F7925640">
      <w:start w:val="3"/>
      <w:numFmt w:val="bullet"/>
      <w:lvlText w:val=""/>
      <w:lvlJc w:val="left"/>
      <w:pPr>
        <w:ind w:left="660" w:hanging="360"/>
      </w:pPr>
      <w:rPr>
        <w:rFonts w:ascii="Symbol" w:eastAsiaTheme="minorHAnsi" w:hAnsi="Symbol" w:cstheme="minorBidi"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3775"/>
    <w:rsid w:val="00026958"/>
    <w:rsid w:val="00063775"/>
    <w:rsid w:val="00101E13"/>
    <w:rsid w:val="001E4C37"/>
    <w:rsid w:val="001F39B5"/>
    <w:rsid w:val="002B184F"/>
    <w:rsid w:val="002E4EF7"/>
    <w:rsid w:val="0041258F"/>
    <w:rsid w:val="005216E9"/>
    <w:rsid w:val="00560248"/>
    <w:rsid w:val="007051AA"/>
    <w:rsid w:val="0081576B"/>
    <w:rsid w:val="008F4D3F"/>
    <w:rsid w:val="009973AA"/>
    <w:rsid w:val="00A56ADF"/>
    <w:rsid w:val="00AD5CC9"/>
    <w:rsid w:val="00BB15A9"/>
    <w:rsid w:val="00E17CB7"/>
    <w:rsid w:val="00F20D04"/>
    <w:rsid w:val="00F4425B"/>
    <w:rsid w:val="00FE355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1F4F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77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560248"/>
    <w:pPr>
      <w:ind w:left="720"/>
      <w:contextualSpacing/>
    </w:pPr>
  </w:style>
  <w:style w:type="character" w:styleId="Hyperlink">
    <w:name w:val="Hyperlink"/>
    <w:basedOn w:val="DefaultParagraphFont"/>
    <w:rsid w:val="00AD5CC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6893</Characters>
  <Application>Microsoft Office Word</Application>
  <DocSecurity>0</DocSecurity>
  <Lines>57</Lines>
  <Paragraphs>16</Paragraphs>
  <ScaleCrop>false</ScaleCrop>
  <Company>UMD</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Smith</dc:creator>
  <cp:keywords/>
  <cp:lastModifiedBy> </cp:lastModifiedBy>
  <cp:revision>2</cp:revision>
  <dcterms:created xsi:type="dcterms:W3CDTF">2009-03-11T12:54:00Z</dcterms:created>
  <dcterms:modified xsi:type="dcterms:W3CDTF">2009-03-11T12:54:00Z</dcterms:modified>
</cp:coreProperties>
</file>