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6912" w14:textId="30CC58F4" w:rsidR="001E10FB" w:rsidRPr="004E4992" w:rsidRDefault="004E4992">
      <w:pPr>
        <w:spacing w:after="0"/>
        <w:jc w:val="center"/>
        <w:rPr>
          <w:rFonts w:ascii="Arial" w:hAnsi="Arial" w:cs="Arial"/>
        </w:rPr>
      </w:pPr>
      <w:r w:rsidRPr="004E4992">
        <w:rPr>
          <w:rFonts w:ascii="Arial" w:hAnsi="Arial" w:cs="Arial"/>
        </w:rPr>
        <w:t xml:space="preserve">HRP-013 | 12/9/2022 | Author: </w:t>
      </w:r>
      <w:r w:rsidR="009E1D23" w:rsidRPr="004E4992">
        <w:rPr>
          <w:rFonts w:ascii="Arial" w:hAnsi="Arial" w:cs="Arial"/>
        </w:rPr>
        <w:t>M. Williams</w:t>
      </w:r>
      <w:r w:rsidRPr="004E4992">
        <w:rPr>
          <w:rFonts w:ascii="Arial" w:hAnsi="Arial" w:cs="Arial"/>
        </w:rPr>
        <w:t xml:space="preserve"> | Approver: </w:t>
      </w:r>
      <w:r w:rsidR="009E1D23" w:rsidRPr="004E4992">
        <w:rPr>
          <w:rFonts w:ascii="Arial" w:hAnsi="Arial" w:cs="Arial"/>
        </w:rPr>
        <w:t>M. Meyer</w:t>
      </w:r>
    </w:p>
    <w:p w14:paraId="13F096A2" w14:textId="77777777" w:rsidR="001E10FB" w:rsidRPr="004E4992" w:rsidRDefault="001E10FB">
      <w:pPr>
        <w:spacing w:after="0"/>
      </w:pPr>
    </w:p>
    <w:p w14:paraId="0FCF7615" w14:textId="77777777" w:rsidR="001E10FB" w:rsidRPr="004E4992" w:rsidRDefault="004E4992">
      <w:pPr>
        <w:pStyle w:val="DocumentTitle-HCG"/>
        <w:rPr>
          <w:szCs w:val="32"/>
        </w:rPr>
      </w:pPr>
      <w:r w:rsidRPr="004E4992">
        <w:rPr>
          <w:szCs w:val="32"/>
        </w:rPr>
        <w:t>SOP: LARs, Children, and Guardians</w:t>
      </w:r>
    </w:p>
    <w:p w14:paraId="24F1C412" w14:textId="77777777" w:rsidR="001E10FB" w:rsidRPr="004E4992" w:rsidRDefault="001E10FB">
      <w:pPr>
        <w:pStyle w:val="DocumentTitle-HCG"/>
      </w:pPr>
    </w:p>
    <w:p w14:paraId="69FBA21B" w14:textId="77777777" w:rsidR="001E10FB" w:rsidRPr="004E4992" w:rsidRDefault="004E4992">
      <w:pPr>
        <w:pStyle w:val="SOPLevel1"/>
        <w:spacing w:line="276" w:lineRule="auto"/>
        <w:rPr>
          <w:rFonts w:cs="Arial"/>
          <w:sz w:val="22"/>
          <w:szCs w:val="22"/>
        </w:rPr>
      </w:pPr>
      <w:r w:rsidRPr="004E4992">
        <w:rPr>
          <w:rFonts w:cs="Arial"/>
          <w:sz w:val="22"/>
          <w:szCs w:val="22"/>
        </w:rPr>
        <w:t>PURPOSE</w:t>
      </w:r>
    </w:p>
    <w:p w14:paraId="7586CF28" w14:textId="77777777" w:rsidR="001E10FB" w:rsidRPr="004E4992" w:rsidRDefault="004E4992">
      <w:pPr>
        <w:pStyle w:val="SOPLevel2"/>
        <w:spacing w:line="276" w:lineRule="auto"/>
        <w:rPr>
          <w:rFonts w:cs="Arial"/>
          <w:sz w:val="22"/>
          <w:szCs w:val="22"/>
        </w:rPr>
      </w:pPr>
      <w:r w:rsidRPr="004E4992">
        <w:rPr>
          <w:rFonts w:cs="Arial"/>
          <w:sz w:val="22"/>
          <w:szCs w:val="22"/>
        </w:rPr>
        <w:t>This policy establishes how to determine which individuals meet the following DHHS and FDA definitions:</w:t>
      </w:r>
    </w:p>
    <w:p w14:paraId="4FC61A35" w14:textId="77777777" w:rsidR="001E10FB" w:rsidRPr="004E4992" w:rsidRDefault="004E4992">
      <w:pPr>
        <w:pStyle w:val="SOPLevel3"/>
        <w:spacing w:line="276" w:lineRule="auto"/>
        <w:rPr>
          <w:rFonts w:cs="Arial"/>
          <w:sz w:val="22"/>
          <w:szCs w:val="22"/>
          <w:u w:val="double"/>
        </w:rPr>
      </w:pPr>
      <w:r w:rsidRPr="004E4992">
        <w:rPr>
          <w:rFonts w:cs="Arial"/>
          <w:sz w:val="22"/>
          <w:szCs w:val="22"/>
          <w:u w:val="double"/>
        </w:rPr>
        <w:t xml:space="preserve">Legally </w:t>
      </w:r>
      <w:r w:rsidRPr="004E4992">
        <w:rPr>
          <w:rFonts w:cs="Arial"/>
          <w:sz w:val="22"/>
          <w:szCs w:val="22"/>
          <w:u w:val="double"/>
        </w:rPr>
        <w:t>Authorized Representative (LAR)</w:t>
      </w:r>
    </w:p>
    <w:p w14:paraId="7DE833A6" w14:textId="77777777" w:rsidR="001E10FB" w:rsidRPr="004E4992" w:rsidRDefault="004E4992">
      <w:pPr>
        <w:pStyle w:val="SOPLevel3"/>
        <w:spacing w:line="276" w:lineRule="auto"/>
        <w:rPr>
          <w:rFonts w:cs="Arial"/>
          <w:sz w:val="22"/>
          <w:szCs w:val="22"/>
        </w:rPr>
      </w:pPr>
      <w:r w:rsidRPr="004E4992">
        <w:rPr>
          <w:rFonts w:cs="Arial"/>
          <w:sz w:val="22"/>
          <w:szCs w:val="22"/>
        </w:rPr>
        <w:t>Children</w:t>
      </w:r>
    </w:p>
    <w:p w14:paraId="501263AF" w14:textId="77777777" w:rsidR="001E10FB" w:rsidRPr="004E4992" w:rsidRDefault="004E4992">
      <w:pPr>
        <w:pStyle w:val="SOPLevel3"/>
        <w:spacing w:line="276" w:lineRule="auto"/>
        <w:rPr>
          <w:rFonts w:cs="Arial"/>
          <w:sz w:val="22"/>
          <w:szCs w:val="22"/>
        </w:rPr>
      </w:pPr>
      <w:r w:rsidRPr="004E4992">
        <w:rPr>
          <w:rFonts w:cs="Arial"/>
          <w:sz w:val="22"/>
          <w:szCs w:val="22"/>
        </w:rPr>
        <w:t>Guardian</w:t>
      </w:r>
    </w:p>
    <w:p w14:paraId="6C871E7E" w14:textId="77777777" w:rsidR="001E10FB" w:rsidRPr="004E4992" w:rsidRDefault="004E4992">
      <w:pPr>
        <w:pStyle w:val="SOPLevel1"/>
        <w:spacing w:line="276" w:lineRule="auto"/>
        <w:rPr>
          <w:rFonts w:cs="Arial"/>
          <w:sz w:val="22"/>
          <w:szCs w:val="22"/>
        </w:rPr>
      </w:pPr>
      <w:r w:rsidRPr="004E4992">
        <w:rPr>
          <w:rFonts w:cs="Arial"/>
          <w:sz w:val="22"/>
          <w:szCs w:val="22"/>
        </w:rPr>
        <w:t>REVISIONS FROM PREVIOUS VERSION</w:t>
      </w:r>
    </w:p>
    <w:p w14:paraId="16A9B386" w14:textId="77777777" w:rsidR="001E10FB" w:rsidRPr="004E4992" w:rsidRDefault="004E4992">
      <w:pPr>
        <w:pStyle w:val="SOPLevel2"/>
        <w:spacing w:line="276" w:lineRule="auto"/>
        <w:rPr>
          <w:rFonts w:cs="Arial"/>
          <w:sz w:val="22"/>
          <w:szCs w:val="22"/>
        </w:rPr>
      </w:pPr>
      <w:r w:rsidRPr="004E4992">
        <w:rPr>
          <w:rFonts w:cs="Arial"/>
          <w:sz w:val="22"/>
          <w:szCs w:val="22"/>
        </w:rPr>
        <w:t>None</w:t>
      </w:r>
    </w:p>
    <w:p w14:paraId="0758D6F4" w14:textId="77777777" w:rsidR="001E10FB" w:rsidRPr="004E4992" w:rsidRDefault="004E4992">
      <w:pPr>
        <w:pStyle w:val="SOPLevel1"/>
        <w:spacing w:line="276" w:lineRule="auto"/>
        <w:rPr>
          <w:rFonts w:cs="Arial"/>
          <w:sz w:val="22"/>
          <w:szCs w:val="22"/>
        </w:rPr>
      </w:pPr>
      <w:r w:rsidRPr="004E4992">
        <w:rPr>
          <w:rFonts w:cs="Arial"/>
          <w:sz w:val="22"/>
          <w:szCs w:val="22"/>
        </w:rPr>
        <w:t>POLICY</w:t>
      </w:r>
    </w:p>
    <w:p w14:paraId="763AF5C0" w14:textId="77777777" w:rsidR="001E10FB" w:rsidRPr="004E4992" w:rsidRDefault="004E4992">
      <w:pPr>
        <w:pStyle w:val="SOPLevel2"/>
        <w:spacing w:line="276" w:lineRule="auto"/>
        <w:rPr>
          <w:rFonts w:cs="Arial"/>
          <w:sz w:val="22"/>
          <w:szCs w:val="22"/>
        </w:rPr>
      </w:pPr>
      <w:r w:rsidRPr="004E4992">
        <w:rPr>
          <w:rFonts w:cs="Arial"/>
          <w:sz w:val="22"/>
          <w:szCs w:val="22"/>
        </w:rPr>
        <w:t xml:space="preserve">Unless the IRB has waived the requirement to obtain consent, when research involves adults unable to consent, permission must be obtained from a </w:t>
      </w:r>
      <w:r w:rsidRPr="004E4992">
        <w:rPr>
          <w:rFonts w:cs="Arial"/>
          <w:sz w:val="22"/>
          <w:szCs w:val="22"/>
          <w:u w:val="double"/>
        </w:rPr>
        <w:t>LAR</w:t>
      </w:r>
      <w:r w:rsidRPr="004E4992">
        <w:rPr>
          <w:rFonts w:cs="Arial"/>
          <w:sz w:val="22"/>
          <w:szCs w:val="22"/>
        </w:rPr>
        <w:t xml:space="preserve">. </w:t>
      </w:r>
    </w:p>
    <w:p w14:paraId="4EF2BFE9" w14:textId="2A7D5E6F" w:rsidR="001E10FB" w:rsidRPr="004E4992" w:rsidRDefault="004E4992">
      <w:pPr>
        <w:pStyle w:val="SOPLevel3"/>
        <w:spacing w:line="276" w:lineRule="auto"/>
        <w:rPr>
          <w:rFonts w:cs="Arial"/>
          <w:sz w:val="22"/>
          <w:szCs w:val="22"/>
        </w:rPr>
      </w:pPr>
      <w:r w:rsidRPr="004E4992">
        <w:rPr>
          <w:rFonts w:cs="Arial"/>
          <w:sz w:val="22"/>
          <w:szCs w:val="22"/>
        </w:rPr>
        <w:t xml:space="preserve">When research is conducted in </w:t>
      </w:r>
      <w:r w:rsidR="008F20C0" w:rsidRPr="004E4992">
        <w:rPr>
          <w:rFonts w:cs="Arial"/>
          <w:sz w:val="22"/>
          <w:szCs w:val="22"/>
        </w:rPr>
        <w:t>Massachusetts</w:t>
      </w:r>
      <w:r w:rsidRPr="004E4992">
        <w:rPr>
          <w:rFonts w:cs="Arial"/>
          <w:sz w:val="22"/>
          <w:szCs w:val="22"/>
        </w:rPr>
        <w:t xml:space="preserve"> the following individuals meet this definition:</w:t>
      </w:r>
    </w:p>
    <w:p w14:paraId="158F6222" w14:textId="63CF9933" w:rsidR="00F3782F" w:rsidRPr="004E4992" w:rsidRDefault="004E4992" w:rsidP="00FC0BC7">
      <w:pPr>
        <w:pStyle w:val="SOPLevel4"/>
        <w:numPr>
          <w:ilvl w:val="0"/>
          <w:numId w:val="0"/>
        </w:numPr>
        <w:ind w:left="2736" w:hanging="1008"/>
      </w:pPr>
      <w:r w:rsidRPr="004E4992">
        <w:rPr>
          <w:sz w:val="22"/>
          <w:szCs w:val="22"/>
        </w:rPr>
        <w:t xml:space="preserve">3.1.1.1  </w:t>
      </w:r>
      <w:r w:rsidR="00F3782F" w:rsidRPr="004E4992">
        <w:t>For medical research and “minimal risk” (as defined under the applicable regulations) non</w:t>
      </w:r>
      <w:r w:rsidR="007274FA" w:rsidRPr="004E4992">
        <w:t>-</w:t>
      </w:r>
      <w:r w:rsidR="00F3782F" w:rsidRPr="004E4992">
        <w:t xml:space="preserve"> medical research: </w:t>
      </w:r>
    </w:p>
    <w:p w14:paraId="38B47976" w14:textId="77777777" w:rsidR="00F3782F" w:rsidRPr="004E4992" w:rsidRDefault="00F3782F" w:rsidP="00F3782F">
      <w:pPr>
        <w:pStyle w:val="SOPLevel5"/>
      </w:pPr>
      <w:r w:rsidRPr="004E4992">
        <w:t>Health care agent. Massachusetts law provides for proxy consent for medical decisions to be given on behalf of an individual who does not have the capacity to consent. The law allows a competent adult to appoint a designated person as his or her “health care agent.” M.G.L. c. 201D. If the person then becomes incapacitated, and is in need of medical care, the health care proxy becomes empowered to make medical decisions on his or her behalf. If no health care agent has been appointed in advance, then medical care providers are authorized by the law to accept consent from “responsible parties,” under common law principles, usually meaning the individual’s next-of-kin. M.G.L. c. 201D, §16. It is generally accepted in Massachusetts that if research involves the provision of medical care, a health care agent, whether appointed or holding that status by virtue of being a “responsible party,” may consent to that treatment and to the accompanying research.</w:t>
      </w:r>
    </w:p>
    <w:p w14:paraId="4588E49A" w14:textId="2CCA57EE" w:rsidR="001E10FB" w:rsidRPr="004E4992" w:rsidRDefault="00F3782F" w:rsidP="00FC0BC7">
      <w:pPr>
        <w:pStyle w:val="SOPLevel5"/>
        <w:rPr>
          <w:rFonts w:cs="Arial"/>
          <w:sz w:val="22"/>
          <w:szCs w:val="22"/>
        </w:rPr>
      </w:pPr>
      <w:r w:rsidRPr="004E4992">
        <w:t xml:space="preserve">Guardian. Under Massachusetts law, a guardian is an individual, </w:t>
      </w:r>
      <w:proofErr w:type="gramStart"/>
      <w:r w:rsidRPr="004E4992">
        <w:t>organization</w:t>
      </w:r>
      <w:proofErr w:type="gramEnd"/>
      <w:r w:rsidRPr="004E4992">
        <w:t xml:space="preserve"> or agency, if any, that has been appointed legal guardian of the person found to be incompetent by a court of competent jurisdiction.</w:t>
      </w:r>
      <w:r w:rsidRPr="004E4992">
        <w:rPr>
          <w:sz w:val="22"/>
          <w:szCs w:val="22"/>
        </w:rPr>
        <w:t xml:space="preserve">    </w:t>
      </w:r>
      <w:r w:rsidRPr="004E4992">
        <w:t xml:space="preserve">     </w:t>
      </w:r>
    </w:p>
    <w:p w14:paraId="2FB6B533" w14:textId="699C0DEA" w:rsidR="001E10FB" w:rsidRPr="004E4992" w:rsidRDefault="004E4992">
      <w:pPr>
        <w:pStyle w:val="SOPLevel3"/>
        <w:spacing w:line="276" w:lineRule="auto"/>
        <w:rPr>
          <w:rFonts w:cs="Arial"/>
          <w:sz w:val="22"/>
          <w:szCs w:val="22"/>
        </w:rPr>
      </w:pPr>
      <w:r w:rsidRPr="004E4992">
        <w:rPr>
          <w:rFonts w:cs="Arial"/>
          <w:sz w:val="22"/>
          <w:szCs w:val="22"/>
        </w:rPr>
        <w:t xml:space="preserve">For research outside </w:t>
      </w:r>
      <w:r w:rsidR="008F20C0" w:rsidRPr="004E4992">
        <w:rPr>
          <w:rFonts w:cs="Arial"/>
          <w:sz w:val="22"/>
          <w:szCs w:val="22"/>
        </w:rPr>
        <w:t>Massachusetts</w:t>
      </w:r>
      <w:r w:rsidRPr="004E4992">
        <w:rPr>
          <w:rFonts w:cs="Arial"/>
          <w:sz w:val="22"/>
          <w:szCs w:val="22"/>
        </w:rPr>
        <w:t xml:space="preserve">, a determination of who is a </w:t>
      </w:r>
      <w:r w:rsidRPr="004E4992">
        <w:rPr>
          <w:rFonts w:cs="Arial"/>
          <w:sz w:val="22"/>
          <w:szCs w:val="22"/>
          <w:u w:val="double"/>
        </w:rPr>
        <w:t>LAR</w:t>
      </w:r>
      <w:r w:rsidRPr="004E4992">
        <w:rPr>
          <w:rFonts w:cs="Arial"/>
          <w:sz w:val="22"/>
          <w:szCs w:val="22"/>
        </w:rPr>
        <w:t xml:space="preserve"> is to be made with consultation from legal counsel.</w:t>
      </w:r>
    </w:p>
    <w:p w14:paraId="0F52236C" w14:textId="77777777" w:rsidR="001E10FB" w:rsidRPr="004E4992" w:rsidRDefault="004E4992">
      <w:pPr>
        <w:pStyle w:val="SOPLevel2"/>
        <w:spacing w:line="276" w:lineRule="auto"/>
        <w:rPr>
          <w:rFonts w:cs="Arial"/>
          <w:sz w:val="22"/>
          <w:szCs w:val="22"/>
        </w:rPr>
      </w:pPr>
      <w:r w:rsidRPr="004E4992">
        <w:rPr>
          <w:rFonts w:cs="Arial"/>
          <w:sz w:val="22"/>
          <w:szCs w:val="22"/>
        </w:rPr>
        <w:t>DHHS and FDA’s Subpart D applies to all research involving children.</w:t>
      </w:r>
    </w:p>
    <w:p w14:paraId="752B3869" w14:textId="22CEBCA6" w:rsidR="00D148EB" w:rsidRPr="004E4992" w:rsidRDefault="004E4992">
      <w:pPr>
        <w:pStyle w:val="SOPLevel3"/>
        <w:spacing w:line="276" w:lineRule="auto"/>
        <w:rPr>
          <w:rFonts w:cs="Arial"/>
          <w:sz w:val="22"/>
          <w:szCs w:val="22"/>
        </w:rPr>
      </w:pPr>
      <w:r w:rsidRPr="004E4992">
        <w:rPr>
          <w:rFonts w:cs="Arial"/>
          <w:sz w:val="22"/>
          <w:szCs w:val="22"/>
        </w:rPr>
        <w:t xml:space="preserve">When research is conducted in </w:t>
      </w:r>
      <w:r w:rsidR="008F20C0" w:rsidRPr="004E4992">
        <w:rPr>
          <w:rFonts w:cs="Arial"/>
          <w:sz w:val="22"/>
          <w:szCs w:val="22"/>
        </w:rPr>
        <w:t>Massachusetts</w:t>
      </w:r>
      <w:r w:rsidRPr="004E4992">
        <w:rPr>
          <w:rFonts w:cs="Arial"/>
          <w:sz w:val="22"/>
          <w:szCs w:val="22"/>
        </w:rPr>
        <w:t xml:space="preserve"> all individuals under the age of 18 years are children. </w:t>
      </w:r>
      <w:r w:rsidRPr="004E4992">
        <w:rPr>
          <w:rFonts w:cs="Arial"/>
          <w:sz w:val="22"/>
          <w:szCs w:val="22"/>
        </w:rPr>
        <w:t>Exceptions exist for</w:t>
      </w:r>
      <w:r w:rsidR="00D148EB" w:rsidRPr="004E4992">
        <w:rPr>
          <w:rFonts w:cs="Arial"/>
          <w:sz w:val="22"/>
          <w:szCs w:val="22"/>
        </w:rPr>
        <w:t>:</w:t>
      </w:r>
    </w:p>
    <w:p w14:paraId="5FF66307" w14:textId="77777777" w:rsidR="00D148EB" w:rsidRPr="004E4992" w:rsidRDefault="00D148EB" w:rsidP="00D148EB">
      <w:pPr>
        <w:pStyle w:val="SOPLevel4"/>
      </w:pPr>
      <w:r w:rsidRPr="004E4992">
        <w:t>Emancipated minors, defined as individuals who meet one of the following criteria:</w:t>
      </w:r>
    </w:p>
    <w:p w14:paraId="0A41DD29" w14:textId="77777777" w:rsidR="00D148EB" w:rsidRPr="004E4992" w:rsidRDefault="00D148EB" w:rsidP="00D148EB">
      <w:pPr>
        <w:pStyle w:val="SOPLevel5"/>
      </w:pPr>
      <w:r w:rsidRPr="004E4992">
        <w:t xml:space="preserve">Married/widowed/divorced </w:t>
      </w:r>
      <w:proofErr w:type="gramStart"/>
      <w:r w:rsidRPr="004E4992">
        <w:t>individual;</w:t>
      </w:r>
      <w:proofErr w:type="gramEnd"/>
    </w:p>
    <w:p w14:paraId="1BCE2AAA" w14:textId="77777777" w:rsidR="00D148EB" w:rsidRPr="004E4992" w:rsidRDefault="00D148EB" w:rsidP="00D148EB">
      <w:pPr>
        <w:pStyle w:val="SOPLevel5"/>
      </w:pPr>
      <w:r w:rsidRPr="004E4992">
        <w:t xml:space="preserve">A </w:t>
      </w:r>
      <w:proofErr w:type="gramStart"/>
      <w:r w:rsidRPr="004E4992">
        <w:t>parent;</w:t>
      </w:r>
      <w:proofErr w:type="gramEnd"/>
      <w:r w:rsidRPr="004E4992">
        <w:t xml:space="preserve"> </w:t>
      </w:r>
    </w:p>
    <w:p w14:paraId="4F477B26" w14:textId="77777777" w:rsidR="00D148EB" w:rsidRPr="004E4992" w:rsidRDefault="00D148EB" w:rsidP="00D148EB">
      <w:pPr>
        <w:pStyle w:val="SOPLevel5"/>
      </w:pPr>
      <w:r w:rsidRPr="004E4992">
        <w:t xml:space="preserve">A member of the armed </w:t>
      </w:r>
      <w:proofErr w:type="gramStart"/>
      <w:r w:rsidRPr="004E4992">
        <w:t>forces;</w:t>
      </w:r>
      <w:proofErr w:type="gramEnd"/>
      <w:r w:rsidRPr="004E4992">
        <w:t xml:space="preserve"> </w:t>
      </w:r>
    </w:p>
    <w:p w14:paraId="044C2DE9" w14:textId="77777777" w:rsidR="00D148EB" w:rsidRPr="004E4992" w:rsidRDefault="00D148EB" w:rsidP="00D148EB">
      <w:pPr>
        <w:pStyle w:val="SOPLevel5"/>
      </w:pPr>
      <w:r w:rsidRPr="004E4992">
        <w:lastRenderedPageBreak/>
        <w:t xml:space="preserve"> An individual living apart from parents and managing his or her own finances; or </w:t>
      </w:r>
    </w:p>
    <w:p w14:paraId="7989F398" w14:textId="77777777" w:rsidR="00D148EB" w:rsidRPr="004E4992" w:rsidRDefault="00D148EB" w:rsidP="00D148EB">
      <w:pPr>
        <w:pStyle w:val="SOPLevel5"/>
      </w:pPr>
      <w:r w:rsidRPr="004E4992">
        <w:t xml:space="preserve">A female who is pregnant or believes herself to be pregnant, unless the procedures involved in the research include abortion as described in 3.2.3 below. </w:t>
      </w:r>
    </w:p>
    <w:p w14:paraId="3C531803" w14:textId="77777777" w:rsidR="00D148EB" w:rsidRPr="004E4992" w:rsidRDefault="00D148EB" w:rsidP="00D148EB">
      <w:pPr>
        <w:pStyle w:val="SOPLevel3"/>
      </w:pPr>
      <w:r w:rsidRPr="004E4992">
        <w:t xml:space="preserve">Individuals under the age of 18 when the research procedures are limited to: </w:t>
      </w:r>
    </w:p>
    <w:p w14:paraId="5ACD066D" w14:textId="77777777" w:rsidR="00D148EB" w:rsidRPr="004E4992" w:rsidRDefault="00D148EB" w:rsidP="00D148EB">
      <w:pPr>
        <w:pStyle w:val="SOPLevel4"/>
      </w:pPr>
      <w:r w:rsidRPr="004E4992">
        <w:t xml:space="preserve">Diseases dangerous to the public </w:t>
      </w:r>
      <w:proofErr w:type="gramStart"/>
      <w:r w:rsidRPr="004E4992">
        <w:t>health;</w:t>
      </w:r>
      <w:proofErr w:type="gramEnd"/>
      <w:r w:rsidRPr="004E4992">
        <w:t xml:space="preserve"> </w:t>
      </w:r>
    </w:p>
    <w:p w14:paraId="067C6D8D" w14:textId="77777777" w:rsidR="00D148EB" w:rsidRPr="004E4992" w:rsidRDefault="00D148EB" w:rsidP="00D148EB">
      <w:pPr>
        <w:pStyle w:val="SOPLevel4"/>
      </w:pPr>
      <w:r w:rsidRPr="004E4992">
        <w:t>Drug dependency (other than alcohol dependency)</w:t>
      </w:r>
    </w:p>
    <w:p w14:paraId="6E83678D" w14:textId="77777777" w:rsidR="00D148EB" w:rsidRPr="004E4992" w:rsidRDefault="00D148EB" w:rsidP="00D148EB">
      <w:pPr>
        <w:pStyle w:val="SOPLevel4"/>
      </w:pPr>
      <w:r w:rsidRPr="004E4992">
        <w:t xml:space="preserve">Pregnancy, unless the procedures involved in the research include abortion as described in 3.2.3 below. </w:t>
      </w:r>
    </w:p>
    <w:p w14:paraId="4228884E" w14:textId="77777777" w:rsidR="00D148EB" w:rsidRPr="004E4992" w:rsidRDefault="00D148EB" w:rsidP="00D148EB">
      <w:pPr>
        <w:pStyle w:val="SOPLevel3"/>
      </w:pPr>
      <w:r w:rsidRPr="004E4992">
        <w:t>Exception: If the research procedures involve abortion, a female under the age of 18 who is not and has never been married meets the definition of children.</w:t>
      </w:r>
    </w:p>
    <w:p w14:paraId="5D259B0F" w14:textId="49FC5110" w:rsidR="001E10FB" w:rsidRPr="004E4992" w:rsidRDefault="004E4992">
      <w:pPr>
        <w:pStyle w:val="SOPLevel3"/>
        <w:spacing w:line="276" w:lineRule="auto"/>
        <w:rPr>
          <w:rFonts w:cs="Arial"/>
          <w:sz w:val="22"/>
          <w:szCs w:val="22"/>
        </w:rPr>
      </w:pPr>
      <w:r w:rsidRPr="004E4992">
        <w:rPr>
          <w:rFonts w:cs="Arial"/>
          <w:sz w:val="22"/>
          <w:szCs w:val="22"/>
        </w:rPr>
        <w:t>Contact legal counsel for more information.</w:t>
      </w:r>
    </w:p>
    <w:p w14:paraId="06BA6A77" w14:textId="6FBEA9F4" w:rsidR="001E10FB" w:rsidRPr="004E4992" w:rsidRDefault="004E4992">
      <w:pPr>
        <w:pStyle w:val="SOPLevel3"/>
        <w:spacing w:line="276" w:lineRule="auto"/>
        <w:rPr>
          <w:rFonts w:cs="Arial"/>
          <w:sz w:val="22"/>
          <w:szCs w:val="22"/>
        </w:rPr>
      </w:pPr>
      <w:r w:rsidRPr="004E4992">
        <w:rPr>
          <w:rFonts w:cs="Arial"/>
          <w:sz w:val="22"/>
          <w:szCs w:val="22"/>
        </w:rPr>
        <w:t xml:space="preserve">For research outside </w:t>
      </w:r>
      <w:r w:rsidR="008F20C0" w:rsidRPr="004E4992">
        <w:rPr>
          <w:rFonts w:cs="Arial"/>
          <w:sz w:val="22"/>
          <w:szCs w:val="22"/>
        </w:rPr>
        <w:t>Massachusetts</w:t>
      </w:r>
      <w:r w:rsidRPr="004E4992">
        <w:rPr>
          <w:rFonts w:cs="Arial"/>
          <w:sz w:val="22"/>
          <w:szCs w:val="22"/>
        </w:rPr>
        <w:t>,</w:t>
      </w:r>
      <w:r w:rsidRPr="004E4992">
        <w:rPr>
          <w:rFonts w:cs="Arial"/>
          <w:sz w:val="22"/>
          <w:szCs w:val="22"/>
        </w:rPr>
        <w:t xml:space="preserve"> a determination of who is a child is to be made with consultation from legal counsel.</w:t>
      </w:r>
    </w:p>
    <w:p w14:paraId="38930CCE" w14:textId="72C5938A" w:rsidR="001E10FB" w:rsidRPr="004E4992" w:rsidRDefault="00A67E07" w:rsidP="00FC0BC7">
      <w:pPr>
        <w:pStyle w:val="SOPLevel3"/>
        <w:spacing w:line="276" w:lineRule="auto"/>
        <w:rPr>
          <w:rFonts w:cs="Arial"/>
          <w:sz w:val="22"/>
          <w:szCs w:val="22"/>
        </w:rPr>
      </w:pPr>
      <w:r w:rsidRPr="004E4992">
        <w:rPr>
          <w:rFonts w:cs="Arial"/>
          <w:sz w:val="22"/>
          <w:szCs w:val="22"/>
        </w:rPr>
        <w:t xml:space="preserve">Unless the IRB has waived the requirement to obtain consent, when research involves </w:t>
      </w:r>
      <w:proofErr w:type="gramStart"/>
      <w:r w:rsidRPr="004E4992">
        <w:rPr>
          <w:rFonts w:cs="Arial"/>
          <w:sz w:val="22"/>
          <w:szCs w:val="22"/>
        </w:rPr>
        <w:t>children</w:t>
      </w:r>
      <w:proofErr w:type="gramEnd"/>
      <w:r w:rsidRPr="004E4992">
        <w:rPr>
          <w:rFonts w:cs="Arial"/>
          <w:sz w:val="22"/>
          <w:szCs w:val="22"/>
        </w:rPr>
        <w:t xml:space="preserve"> consent may only be obtained from biologic or adoptive parents or an individual legally authorized to consent on behalf of the child to general medical care</w:t>
      </w:r>
      <w:r w:rsidRPr="004E4992">
        <w:rPr>
          <w:rStyle w:val="EndnoteReference"/>
          <w:rFonts w:cs="Arial"/>
          <w:sz w:val="22"/>
          <w:szCs w:val="22"/>
        </w:rPr>
        <w:endnoteReference w:id="1"/>
      </w:r>
      <w:r w:rsidRPr="004E4992">
        <w:rPr>
          <w:rFonts w:cs="Arial"/>
          <w:sz w:val="22"/>
          <w:szCs w:val="22"/>
        </w:rPr>
        <w:t xml:space="preserve">. </w:t>
      </w:r>
      <w:r w:rsidR="00426244" w:rsidRPr="004E4992">
        <w:rPr>
          <w:rFonts w:cs="Arial"/>
          <w:sz w:val="22"/>
          <w:szCs w:val="22"/>
        </w:rPr>
        <w:t xml:space="preserve">Under Massachusetts law, a child’s guardian is an individual, </w:t>
      </w:r>
      <w:proofErr w:type="gramStart"/>
      <w:r w:rsidR="00426244" w:rsidRPr="004E4992">
        <w:rPr>
          <w:rFonts w:cs="Arial"/>
          <w:sz w:val="22"/>
          <w:szCs w:val="22"/>
        </w:rPr>
        <w:t>organization</w:t>
      </w:r>
      <w:proofErr w:type="gramEnd"/>
      <w:r w:rsidR="00426244" w:rsidRPr="004E4992">
        <w:rPr>
          <w:rFonts w:cs="Arial"/>
          <w:sz w:val="22"/>
          <w:szCs w:val="22"/>
        </w:rPr>
        <w:t xml:space="preserve"> or agency, if any, that has been appointed through a court process as legal guardian for that child.</w:t>
      </w:r>
      <w:r w:rsidR="009E5026" w:rsidRPr="004E4992">
        <w:rPr>
          <w:rFonts w:cs="Arial"/>
          <w:sz w:val="22"/>
          <w:szCs w:val="22"/>
        </w:rPr>
        <w:t xml:space="preserve"> For research outside Massachusetts, a determin</w:t>
      </w:r>
      <w:r w:rsidR="00FC0BC7" w:rsidRPr="004E4992">
        <w:rPr>
          <w:rFonts w:cs="Arial"/>
          <w:sz w:val="22"/>
          <w:szCs w:val="22"/>
        </w:rPr>
        <w:t>ation</w:t>
      </w:r>
      <w:r w:rsidR="009E5026" w:rsidRPr="004E4992">
        <w:rPr>
          <w:rFonts w:cs="Arial"/>
          <w:sz w:val="22"/>
          <w:szCs w:val="22"/>
        </w:rPr>
        <w:t xml:space="preserve"> of who meets the definition of guardian for a child is to be made with consultation from legal counsel.</w:t>
      </w:r>
    </w:p>
    <w:p w14:paraId="7C5F0FCD" w14:textId="77777777" w:rsidR="001E10FB" w:rsidRPr="004E4992" w:rsidRDefault="004E4992">
      <w:pPr>
        <w:pStyle w:val="SOPLevel1"/>
        <w:spacing w:line="276" w:lineRule="auto"/>
        <w:rPr>
          <w:rFonts w:cs="Arial"/>
          <w:sz w:val="22"/>
          <w:szCs w:val="22"/>
        </w:rPr>
      </w:pPr>
      <w:r w:rsidRPr="004E4992">
        <w:rPr>
          <w:rFonts w:cs="Arial"/>
          <w:sz w:val="22"/>
          <w:szCs w:val="22"/>
        </w:rPr>
        <w:t>RESPONSIBILITIES</w:t>
      </w:r>
    </w:p>
    <w:p w14:paraId="65EE2AEC" w14:textId="77777777" w:rsidR="001E10FB" w:rsidRPr="004E4992" w:rsidRDefault="004E4992">
      <w:pPr>
        <w:pStyle w:val="SOPLevel2"/>
        <w:spacing w:line="276" w:lineRule="auto"/>
        <w:rPr>
          <w:rFonts w:cs="Arial"/>
          <w:sz w:val="22"/>
          <w:szCs w:val="22"/>
        </w:rPr>
      </w:pPr>
      <w:r w:rsidRPr="004E4992">
        <w:rPr>
          <w:rFonts w:cs="Arial"/>
          <w:sz w:val="22"/>
          <w:szCs w:val="22"/>
        </w:rPr>
        <w:t xml:space="preserve">Investigators are to follow this policy when obtaining permission for adults unable to consent or children to take part in </w:t>
      </w:r>
      <w:r w:rsidRPr="004E4992">
        <w:rPr>
          <w:rFonts w:cs="Arial"/>
          <w:sz w:val="22"/>
          <w:szCs w:val="22"/>
        </w:rPr>
        <w:t>research.</w:t>
      </w:r>
    </w:p>
    <w:p w14:paraId="7CF19EE2" w14:textId="77777777" w:rsidR="001E10FB" w:rsidRPr="004E4992" w:rsidRDefault="004E4992">
      <w:pPr>
        <w:pStyle w:val="SOPLevel1"/>
        <w:spacing w:line="276" w:lineRule="auto"/>
        <w:rPr>
          <w:rFonts w:cs="Arial"/>
          <w:sz w:val="22"/>
          <w:szCs w:val="22"/>
        </w:rPr>
      </w:pPr>
      <w:r w:rsidRPr="004E4992">
        <w:rPr>
          <w:rFonts w:cs="Arial"/>
          <w:sz w:val="22"/>
          <w:szCs w:val="22"/>
        </w:rPr>
        <w:t>PROCEDURE</w:t>
      </w:r>
    </w:p>
    <w:p w14:paraId="5C694DAB" w14:textId="77777777" w:rsidR="001E10FB" w:rsidRPr="004E4992" w:rsidRDefault="004E4992">
      <w:pPr>
        <w:pStyle w:val="SOPLevel2"/>
        <w:spacing w:line="276" w:lineRule="auto"/>
        <w:rPr>
          <w:rFonts w:cs="Arial"/>
          <w:sz w:val="22"/>
          <w:szCs w:val="22"/>
        </w:rPr>
      </w:pPr>
      <w:r w:rsidRPr="004E4992">
        <w:rPr>
          <w:rFonts w:cs="Arial"/>
          <w:sz w:val="22"/>
          <w:szCs w:val="22"/>
        </w:rPr>
        <w:t>None</w:t>
      </w:r>
    </w:p>
    <w:p w14:paraId="4ED585D7" w14:textId="77777777" w:rsidR="001E10FB" w:rsidRPr="004E4992" w:rsidRDefault="004E4992">
      <w:pPr>
        <w:pStyle w:val="SOPLevel1"/>
        <w:spacing w:line="276" w:lineRule="auto"/>
        <w:rPr>
          <w:rFonts w:cs="Arial"/>
          <w:sz w:val="22"/>
          <w:szCs w:val="22"/>
        </w:rPr>
      </w:pPr>
      <w:r w:rsidRPr="004E4992">
        <w:rPr>
          <w:rFonts w:cs="Arial"/>
          <w:sz w:val="22"/>
          <w:szCs w:val="22"/>
        </w:rPr>
        <w:t>MATERIALS</w:t>
      </w:r>
    </w:p>
    <w:p w14:paraId="707C7872" w14:textId="77777777" w:rsidR="001E10FB" w:rsidRPr="004E4992" w:rsidRDefault="004E4992">
      <w:pPr>
        <w:pStyle w:val="SOPLevel2"/>
        <w:spacing w:line="276" w:lineRule="auto"/>
        <w:rPr>
          <w:rFonts w:cs="Arial"/>
          <w:sz w:val="22"/>
          <w:szCs w:val="22"/>
        </w:rPr>
      </w:pPr>
      <w:r w:rsidRPr="004E4992">
        <w:rPr>
          <w:rFonts w:cs="Arial"/>
          <w:sz w:val="22"/>
          <w:szCs w:val="22"/>
        </w:rPr>
        <w:t>None</w:t>
      </w:r>
    </w:p>
    <w:p w14:paraId="7225AA77" w14:textId="77777777" w:rsidR="001E10FB" w:rsidRPr="004E4992" w:rsidRDefault="004E4992">
      <w:pPr>
        <w:pStyle w:val="SOPLevel1"/>
        <w:spacing w:line="276" w:lineRule="auto"/>
        <w:rPr>
          <w:rFonts w:cs="Arial"/>
          <w:sz w:val="22"/>
          <w:szCs w:val="22"/>
        </w:rPr>
      </w:pPr>
      <w:r w:rsidRPr="004E4992">
        <w:rPr>
          <w:rFonts w:cs="Arial"/>
          <w:sz w:val="22"/>
          <w:szCs w:val="22"/>
        </w:rPr>
        <w:t>REFERENCES</w:t>
      </w:r>
    </w:p>
    <w:p w14:paraId="2A099D94" w14:textId="77777777" w:rsidR="001E10FB" w:rsidRPr="004E4992" w:rsidRDefault="004E4992">
      <w:pPr>
        <w:pStyle w:val="SOPLevel2"/>
        <w:spacing w:line="276" w:lineRule="auto"/>
        <w:rPr>
          <w:rFonts w:cs="Arial"/>
          <w:sz w:val="22"/>
          <w:szCs w:val="22"/>
        </w:rPr>
      </w:pPr>
      <w:r w:rsidRPr="004E4992">
        <w:rPr>
          <w:rFonts w:cs="Arial"/>
          <w:sz w:val="22"/>
          <w:szCs w:val="22"/>
        </w:rPr>
        <w:t>45 CFR §46.102, 45 CFR §46.402</w:t>
      </w:r>
    </w:p>
    <w:p w14:paraId="4DEF0477" w14:textId="77777777" w:rsidR="001E10FB" w:rsidRPr="004E4992" w:rsidRDefault="004E4992">
      <w:pPr>
        <w:pStyle w:val="SOPLevel2"/>
        <w:spacing w:line="276" w:lineRule="auto"/>
        <w:rPr>
          <w:rFonts w:cs="Arial"/>
          <w:sz w:val="22"/>
          <w:szCs w:val="22"/>
        </w:rPr>
      </w:pPr>
      <w:r w:rsidRPr="004E4992">
        <w:rPr>
          <w:rFonts w:cs="Arial"/>
          <w:sz w:val="22"/>
          <w:szCs w:val="22"/>
        </w:rPr>
        <w:t>21 CFR §50.3</w:t>
      </w:r>
    </w:p>
    <w:p w14:paraId="658B30EE" w14:textId="77777777" w:rsidR="001E10FB" w:rsidRPr="004E4992" w:rsidRDefault="004E4992">
      <w:pPr>
        <w:pStyle w:val="SOPLevel2"/>
        <w:spacing w:line="276" w:lineRule="auto"/>
        <w:rPr>
          <w:rFonts w:cs="Arial"/>
          <w:sz w:val="22"/>
          <w:szCs w:val="22"/>
        </w:rPr>
      </w:pPr>
      <w:r w:rsidRPr="004E4992">
        <w:rPr>
          <w:rFonts w:cs="Arial"/>
          <w:sz w:val="22"/>
          <w:szCs w:val="22"/>
        </w:rPr>
        <w:t>AAHRPP elements I.1.G, I-9, II.4.B</w:t>
      </w:r>
    </w:p>
    <w:sectPr w:rsidR="001E10FB" w:rsidRPr="004E4992">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6D1E" w14:textId="77777777" w:rsidR="00F8357E" w:rsidRDefault="00F8357E" w:rsidP="00855EE6">
      <w:pPr>
        <w:spacing w:after="0" w:line="240" w:lineRule="auto"/>
      </w:pPr>
      <w:r>
        <w:separator/>
      </w:r>
    </w:p>
  </w:endnote>
  <w:endnote w:type="continuationSeparator" w:id="0">
    <w:p w14:paraId="4798B681" w14:textId="77777777" w:rsidR="00F8357E" w:rsidRDefault="00F8357E" w:rsidP="00855EE6">
      <w:pPr>
        <w:spacing w:after="0" w:line="240" w:lineRule="auto"/>
      </w:pPr>
      <w:r>
        <w:continuationSeparator/>
      </w:r>
    </w:p>
  </w:endnote>
  <w:endnote w:id="1">
    <w:p w14:paraId="7FCA787D" w14:textId="77777777" w:rsidR="00A67E07" w:rsidRDefault="00A67E07" w:rsidP="00A67E07">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is the DHHS and FDA definition of “guardian.”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3C8E" w14:textId="77777777" w:rsidR="001E10FB" w:rsidRDefault="004E499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A1288EF" w14:textId="7F3C959D" w:rsidR="001E10FB" w:rsidRDefault="001E10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2258" w14:textId="77777777" w:rsidR="001E10FB" w:rsidRDefault="004E499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12786182" w14:textId="596BBAB6" w:rsidR="001E10FB" w:rsidRDefault="001E10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9C50" w14:textId="77777777" w:rsidR="00F8357E" w:rsidRDefault="00F8357E" w:rsidP="00855EE6">
      <w:pPr>
        <w:spacing w:after="0" w:line="240" w:lineRule="auto"/>
      </w:pPr>
      <w:r>
        <w:separator/>
      </w:r>
    </w:p>
  </w:footnote>
  <w:footnote w:type="continuationSeparator" w:id="0">
    <w:p w14:paraId="601E23F4" w14:textId="77777777" w:rsidR="00F8357E" w:rsidRDefault="00F8357E"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CB92" w14:textId="77777777" w:rsidR="001E10FB" w:rsidRDefault="001E10FB">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D253" w14:textId="5244A397" w:rsidR="001E10FB" w:rsidRDefault="009E1D23">
    <w:pPr>
      <w:pStyle w:val="Header"/>
      <w:jc w:val="center"/>
    </w:pPr>
    <w:r>
      <w:rPr>
        <w:noProof/>
      </w:rPr>
      <w:drawing>
        <wp:inline distT="0" distB="0" distL="0" distR="0" wp14:anchorId="78D51F66" wp14:editId="4FEE899C">
          <wp:extent cx="118872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p w14:paraId="7F16A3B9" w14:textId="77777777" w:rsidR="001E10FB" w:rsidRDefault="001E10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18"/>
        </w:tabs>
        <w:ind w:left="990"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13281504">
    <w:abstractNumId w:val="1"/>
  </w:num>
  <w:num w:numId="2" w16cid:durableId="2123961291">
    <w:abstractNumId w:val="2"/>
  </w:num>
  <w:num w:numId="3" w16cid:durableId="166940647">
    <w:abstractNumId w:val="0"/>
  </w:num>
  <w:num w:numId="4" w16cid:durableId="871304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63DA2"/>
    <w:rsid w:val="00073852"/>
    <w:rsid w:val="00082AFF"/>
    <w:rsid w:val="00095BC7"/>
    <w:rsid w:val="00097C68"/>
    <w:rsid w:val="000E220B"/>
    <w:rsid w:val="000F5F1B"/>
    <w:rsid w:val="00112F1A"/>
    <w:rsid w:val="00150F7C"/>
    <w:rsid w:val="00166115"/>
    <w:rsid w:val="001E10FB"/>
    <w:rsid w:val="00216912"/>
    <w:rsid w:val="00231342"/>
    <w:rsid w:val="00272E9B"/>
    <w:rsid w:val="002860A4"/>
    <w:rsid w:val="002A0DD4"/>
    <w:rsid w:val="002B681F"/>
    <w:rsid w:val="00326316"/>
    <w:rsid w:val="00326970"/>
    <w:rsid w:val="0034262A"/>
    <w:rsid w:val="0035722D"/>
    <w:rsid w:val="00376FA0"/>
    <w:rsid w:val="00397D6B"/>
    <w:rsid w:val="003E5AE2"/>
    <w:rsid w:val="003F35F5"/>
    <w:rsid w:val="00413B76"/>
    <w:rsid w:val="00420E2B"/>
    <w:rsid w:val="00426244"/>
    <w:rsid w:val="00432636"/>
    <w:rsid w:val="00433C87"/>
    <w:rsid w:val="00447E2E"/>
    <w:rsid w:val="004709CB"/>
    <w:rsid w:val="004B05DE"/>
    <w:rsid w:val="004D10C5"/>
    <w:rsid w:val="004E2CCD"/>
    <w:rsid w:val="004E4992"/>
    <w:rsid w:val="00512CDD"/>
    <w:rsid w:val="00554085"/>
    <w:rsid w:val="005678B9"/>
    <w:rsid w:val="00574247"/>
    <w:rsid w:val="0059053B"/>
    <w:rsid w:val="00590F9F"/>
    <w:rsid w:val="005C5C4B"/>
    <w:rsid w:val="00612FDA"/>
    <w:rsid w:val="0062282F"/>
    <w:rsid w:val="00625EFE"/>
    <w:rsid w:val="00636276"/>
    <w:rsid w:val="00650A58"/>
    <w:rsid w:val="00675EB8"/>
    <w:rsid w:val="006844F4"/>
    <w:rsid w:val="00694BF0"/>
    <w:rsid w:val="00695219"/>
    <w:rsid w:val="006B5B74"/>
    <w:rsid w:val="006C3173"/>
    <w:rsid w:val="006F23D2"/>
    <w:rsid w:val="007274FA"/>
    <w:rsid w:val="007469E0"/>
    <w:rsid w:val="007509B9"/>
    <w:rsid w:val="0076301A"/>
    <w:rsid w:val="007806C2"/>
    <w:rsid w:val="008169C7"/>
    <w:rsid w:val="00821C23"/>
    <w:rsid w:val="0084152D"/>
    <w:rsid w:val="00855EE6"/>
    <w:rsid w:val="0086083E"/>
    <w:rsid w:val="00872DA6"/>
    <w:rsid w:val="0088051B"/>
    <w:rsid w:val="00891FE9"/>
    <w:rsid w:val="00892392"/>
    <w:rsid w:val="00893D51"/>
    <w:rsid w:val="008B0231"/>
    <w:rsid w:val="008B1695"/>
    <w:rsid w:val="008B32E5"/>
    <w:rsid w:val="008B3D20"/>
    <w:rsid w:val="008F20C0"/>
    <w:rsid w:val="00915462"/>
    <w:rsid w:val="00917358"/>
    <w:rsid w:val="00973FD0"/>
    <w:rsid w:val="009C1EE8"/>
    <w:rsid w:val="009E1D23"/>
    <w:rsid w:val="009E5026"/>
    <w:rsid w:val="00A15609"/>
    <w:rsid w:val="00A16F0A"/>
    <w:rsid w:val="00A45866"/>
    <w:rsid w:val="00A67E07"/>
    <w:rsid w:val="00A84A24"/>
    <w:rsid w:val="00A93E44"/>
    <w:rsid w:val="00AB34F0"/>
    <w:rsid w:val="00AC2F0C"/>
    <w:rsid w:val="00AC4ED1"/>
    <w:rsid w:val="00B23768"/>
    <w:rsid w:val="00B23D93"/>
    <w:rsid w:val="00B42A05"/>
    <w:rsid w:val="00B54DF7"/>
    <w:rsid w:val="00B61F4A"/>
    <w:rsid w:val="00BB2AC7"/>
    <w:rsid w:val="00BF2F85"/>
    <w:rsid w:val="00C11900"/>
    <w:rsid w:val="00C2204E"/>
    <w:rsid w:val="00C468AA"/>
    <w:rsid w:val="00C536C2"/>
    <w:rsid w:val="00C75CAF"/>
    <w:rsid w:val="00C97E43"/>
    <w:rsid w:val="00CD784A"/>
    <w:rsid w:val="00D148EB"/>
    <w:rsid w:val="00D35E6A"/>
    <w:rsid w:val="00D926D2"/>
    <w:rsid w:val="00DF699C"/>
    <w:rsid w:val="00E0288C"/>
    <w:rsid w:val="00E03D8D"/>
    <w:rsid w:val="00E33C34"/>
    <w:rsid w:val="00E34769"/>
    <w:rsid w:val="00E61D55"/>
    <w:rsid w:val="00EE39FA"/>
    <w:rsid w:val="00EF642F"/>
    <w:rsid w:val="00F116D8"/>
    <w:rsid w:val="00F21D47"/>
    <w:rsid w:val="00F3782F"/>
    <w:rsid w:val="00F40567"/>
    <w:rsid w:val="00F54A22"/>
    <w:rsid w:val="00F8357E"/>
    <w:rsid w:val="00F84AEF"/>
    <w:rsid w:val="00FC0BC7"/>
    <w:rsid w:val="00FE1862"/>
    <w:rsid w:val="00FE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B551"/>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styleId="Mention">
    <w:name w:val="Mention"/>
    <w:basedOn w:val="DefaultParagraphFont"/>
    <w:uiPriority w:val="99"/>
    <w:unhideWhenUsed/>
    <w:rPr>
      <w:color w:val="2B579A"/>
      <w:shd w:val="clear" w:color="auto" w:fill="E1DFDD"/>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Revision">
    <w:name w:val="Revision"/>
    <w:hidden/>
    <w:uiPriority w:val="99"/>
    <w:semiHidden/>
    <w:rsid w:val="009E1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6A823-8101-4FEC-B37A-3733DB71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DF3DB6FD-FEB9-49A4-A135-509A9914A074}">
  <ds:schemaRefs>
    <ds:schemaRef ds:uri="http://schemas.openxmlformats.org/officeDocument/2006/bibliography"/>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Sharon S Wang</cp:lastModifiedBy>
  <cp:revision>21</cp:revision>
  <dcterms:created xsi:type="dcterms:W3CDTF">2023-01-05T18:51:00Z</dcterms:created>
  <dcterms:modified xsi:type="dcterms:W3CDTF">2024-03-29T18:31:00Z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2726700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